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916"/>
        <w:gridCol w:w="14"/>
        <w:gridCol w:w="84"/>
        <w:gridCol w:w="152"/>
        <w:gridCol w:w="532"/>
        <w:gridCol w:w="777"/>
        <w:gridCol w:w="156"/>
        <w:gridCol w:w="996"/>
        <w:gridCol w:w="124"/>
        <w:gridCol w:w="284"/>
        <w:gridCol w:w="283"/>
        <w:gridCol w:w="1134"/>
        <w:gridCol w:w="121"/>
        <w:gridCol w:w="163"/>
        <w:gridCol w:w="283"/>
        <w:gridCol w:w="14"/>
        <w:gridCol w:w="343"/>
        <w:gridCol w:w="210"/>
        <w:gridCol w:w="142"/>
        <w:gridCol w:w="1148"/>
        <w:gridCol w:w="836"/>
        <w:gridCol w:w="851"/>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3192" w:type="dxa"/>
            <w:gridSpan w:val="6"/>
            <w:tcBorders>
              <w:left w:val="single" w:color="auto" w:sz="4" w:space="0"/>
              <w:bottom w:val="single" w:color="auto" w:sz="4" w:space="0"/>
            </w:tcBorders>
            <w:vAlign w:val="center"/>
          </w:tcPr>
          <w:p>
            <w:pPr>
              <w:spacing w:after="0" w:line="240" w:lineRule="auto"/>
              <w:jc w:val="center"/>
            </w:pPr>
            <w:r>
              <w:rPr>
                <w:lang w:eastAsia="zh-CN"/>
              </w:rPr>
              <w:drawing>
                <wp:inline distT="0" distB="0" distL="0" distR="0">
                  <wp:extent cx="1910715" cy="27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21522" cy="276656"/>
                          </a:xfrm>
                          <a:prstGeom prst="rect">
                            <a:avLst/>
                          </a:prstGeom>
                          <a:noFill/>
                          <a:ln>
                            <a:noFill/>
                          </a:ln>
                        </pic:spPr>
                      </pic:pic>
                    </a:graphicData>
                  </a:graphic>
                </wp:inline>
              </w:drawing>
            </w:r>
          </w:p>
        </w:tc>
        <w:tc>
          <w:tcPr>
            <w:tcW w:w="8290" w:type="dxa"/>
            <w:gridSpan w:val="18"/>
            <w:tcBorders>
              <w:bottom w:val="single" w:color="auto" w:sz="4" w:space="0"/>
            </w:tcBorders>
            <w:vAlign w:val="center"/>
          </w:tcPr>
          <w:p>
            <w:pPr>
              <w:spacing w:after="0" w:line="276" w:lineRule="auto"/>
              <w:jc w:val="center"/>
              <w:rPr>
                <w:rFonts w:ascii="仿宋" w:hAnsi="仿宋"/>
                <w:color w:val="000000" w:themeColor="text1"/>
                <w:spacing w:val="13"/>
                <w:sz w:val="20"/>
                <w:szCs w:val="20"/>
                <w:lang w:eastAsia="zh-HK"/>
                <w14:textFill>
                  <w14:solidFill>
                    <w14:schemeClr w14:val="tx1"/>
                  </w14:solidFill>
                </w14:textFill>
              </w:rPr>
            </w:pPr>
            <w:r>
              <w:rPr>
                <w:color w:val="000000" w:themeColor="text1"/>
                <w:spacing w:val="13"/>
                <w:sz w:val="20"/>
                <w:szCs w:val="20"/>
                <w14:textFill>
                  <w14:solidFill>
                    <w14:schemeClr w14:val="tx1"/>
                  </w14:solidFill>
                </w14:textFill>
              </w:rPr>
              <w:t xml:space="preserve">REMITTANCE APPLICATION FORM </w:t>
            </w:r>
            <w:r>
              <w:rPr>
                <w:rFonts w:hint="eastAsia" w:ascii="仿宋" w:hAnsi="仿宋" w:eastAsia="仿宋"/>
                <w:color w:val="000000" w:themeColor="text1"/>
                <w:spacing w:val="13"/>
                <w:sz w:val="20"/>
                <w:szCs w:val="20"/>
                <w14:textFill>
                  <w14:solidFill>
                    <w14:schemeClr w14:val="tx1"/>
                  </w14:solidFill>
                </w14:textFill>
              </w:rPr>
              <w:t>匯款申請書</w:t>
            </w:r>
          </w:p>
          <w:p>
            <w:pPr>
              <w:spacing w:after="0" w:line="276" w:lineRule="auto"/>
              <w:jc w:val="center"/>
              <w:rPr>
                <w:sz w:val="14"/>
                <w:szCs w:val="14"/>
                <w:lang w:eastAsia="zh-HK"/>
              </w:rPr>
            </w:pPr>
            <w:bookmarkStart w:id="5" w:name="_GoBack"/>
            <w:r>
              <w:rPr>
                <w:color w:val="000000" w:themeColor="text1"/>
                <w:spacing w:val="16"/>
                <w:sz w:val="14"/>
                <w:szCs w:val="14"/>
                <w14:textFill>
                  <w14:solidFill>
                    <w14:schemeClr w14:val="tx1"/>
                  </w14:solidFill>
                </w14:textFill>
              </w:rPr>
              <w:fldChar w:fldCharType="begin">
                <w:ffData>
                  <w:name w:val="Check1"/>
                  <w:enabled/>
                  <w:calcOnExit w:val="0"/>
                  <w:checkBox>
                    <w:sizeAuto/>
                    <w:default w:val="0"/>
                    <w:checked w:val="0"/>
                  </w:checkBox>
                </w:ffData>
              </w:fldChar>
            </w:r>
            <w:r>
              <w:rPr>
                <w:color w:val="000000" w:themeColor="text1"/>
                <w:spacing w:val="16"/>
                <w:sz w:val="14"/>
                <w:szCs w:val="14"/>
                <w14:textFill>
                  <w14:solidFill>
                    <w14:schemeClr w14:val="tx1"/>
                  </w14:solidFill>
                </w14:textFill>
              </w:rPr>
              <w:instrText xml:space="preserve"> FORMCHECKBOX </w:instrText>
            </w:r>
            <w:r>
              <w:rPr>
                <w:color w:val="000000" w:themeColor="text1"/>
                <w:spacing w:val="16"/>
                <w:sz w:val="14"/>
                <w:szCs w:val="14"/>
                <w14:textFill>
                  <w14:solidFill>
                    <w14:schemeClr w14:val="tx1"/>
                  </w14:solidFill>
                </w14:textFill>
              </w:rPr>
              <w:fldChar w:fldCharType="separate"/>
            </w:r>
            <w:r>
              <w:rPr>
                <w:color w:val="000000" w:themeColor="text1"/>
                <w:spacing w:val="16"/>
                <w:sz w:val="14"/>
                <w:szCs w:val="14"/>
                <w14:textFill>
                  <w14:solidFill>
                    <w14:schemeClr w14:val="tx1"/>
                  </w14:solidFill>
                </w14:textFill>
              </w:rPr>
              <w:fldChar w:fldCharType="end"/>
            </w:r>
            <w:bookmarkEnd w:id="5"/>
            <w:r>
              <w:rPr>
                <w:color w:val="000000" w:themeColor="text1"/>
                <w:spacing w:val="8"/>
                <w:sz w:val="14"/>
                <w:szCs w:val="14"/>
                <w14:textFill>
                  <w14:solidFill>
                    <w14:schemeClr w14:val="tx1"/>
                  </w14:solidFill>
                </w14:textFill>
              </w:rPr>
              <w:t xml:space="preserve"> Local RTGS </w:t>
            </w:r>
            <w:r>
              <w:rPr>
                <w:rFonts w:hint="eastAsia" w:ascii="仿宋" w:hAnsi="仿宋" w:eastAsia="仿宋"/>
                <w:color w:val="000000" w:themeColor="text1"/>
                <w:spacing w:val="13"/>
                <w:sz w:val="14"/>
                <w:szCs w:val="14"/>
                <w14:textFill>
                  <w14:solidFill>
                    <w14:schemeClr w14:val="tx1"/>
                  </w14:solidFill>
                </w14:textFill>
              </w:rPr>
              <w:t>本地匯款</w:t>
            </w:r>
            <w:bookmarkStart w:id="0" w:name="Check1"/>
            <w:r>
              <w:rPr>
                <w:rFonts w:ascii="仿宋" w:hAnsi="仿宋" w:eastAsia="仿宋"/>
                <w:color w:val="000000" w:themeColor="text1"/>
                <w:spacing w:val="13"/>
                <w:sz w:val="14"/>
                <w:szCs w:val="14"/>
                <w14:textFill>
                  <w14:solidFill>
                    <w14:schemeClr w14:val="tx1"/>
                  </w14:solidFill>
                </w14:textFill>
              </w:rPr>
              <w:t xml:space="preserve">           </w:t>
            </w:r>
            <w:r>
              <w:rPr>
                <w:color w:val="000000" w:themeColor="text1"/>
                <w:spacing w:val="16"/>
                <w:sz w:val="14"/>
                <w:szCs w:val="14"/>
                <w14:textFill>
                  <w14:solidFill>
                    <w14:schemeClr w14:val="tx1"/>
                  </w14:solidFill>
                </w14:textFill>
              </w:rPr>
              <w:fldChar w:fldCharType="begin">
                <w:ffData>
                  <w:name w:val="Check1"/>
                  <w:enabled/>
                  <w:calcOnExit w:val="0"/>
                  <w:checkBox>
                    <w:sizeAuto/>
                    <w:default w:val="0"/>
                    <w:checked w:val="0"/>
                  </w:checkBox>
                </w:ffData>
              </w:fldChar>
            </w:r>
            <w:r>
              <w:rPr>
                <w:color w:val="000000" w:themeColor="text1"/>
                <w:spacing w:val="16"/>
                <w:sz w:val="14"/>
                <w:szCs w:val="14"/>
                <w14:textFill>
                  <w14:solidFill>
                    <w14:schemeClr w14:val="tx1"/>
                  </w14:solidFill>
                </w14:textFill>
              </w:rPr>
              <w:instrText xml:space="preserve"> FORMCHECKBOX </w:instrText>
            </w:r>
            <w:r>
              <w:rPr>
                <w:color w:val="000000" w:themeColor="text1"/>
                <w:spacing w:val="16"/>
                <w:sz w:val="14"/>
                <w:szCs w:val="14"/>
                <w14:textFill>
                  <w14:solidFill>
                    <w14:schemeClr w14:val="tx1"/>
                  </w14:solidFill>
                </w14:textFill>
              </w:rPr>
              <w:fldChar w:fldCharType="separate"/>
            </w:r>
            <w:r>
              <w:rPr>
                <w:color w:val="000000" w:themeColor="text1"/>
                <w:spacing w:val="16"/>
                <w:sz w:val="14"/>
                <w:szCs w:val="14"/>
                <w14:textFill>
                  <w14:solidFill>
                    <w14:schemeClr w14:val="tx1"/>
                  </w14:solidFill>
                </w14:textFill>
              </w:rPr>
              <w:fldChar w:fldCharType="end"/>
            </w:r>
            <w:bookmarkEnd w:id="0"/>
            <w:r>
              <w:rPr>
                <w:color w:val="000000" w:themeColor="text1"/>
                <w:spacing w:val="16"/>
                <w:sz w:val="14"/>
                <w:szCs w:val="14"/>
                <w14:textFill>
                  <w14:solidFill>
                    <w14:schemeClr w14:val="tx1"/>
                  </w14:solidFill>
                </w14:textFill>
              </w:rPr>
              <w:t xml:space="preserve"> T/T </w:t>
            </w:r>
            <w:r>
              <w:rPr>
                <w:rFonts w:hint="eastAsia" w:ascii="仿宋" w:hAnsi="仿宋" w:eastAsia="仿宋"/>
                <w:color w:val="000000" w:themeColor="text1"/>
                <w:spacing w:val="13"/>
                <w:sz w:val="14"/>
                <w:szCs w:val="14"/>
                <w14:textFill>
                  <w14:solidFill>
                    <w14:schemeClr w14:val="tx1"/>
                  </w14:solidFill>
                </w14:textFill>
              </w:rPr>
              <w:t>電匯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4125" w:type="dxa"/>
            <w:gridSpan w:val="8"/>
            <w:tcBorders>
              <w:top w:val="single" w:color="auto" w:sz="4" w:space="0"/>
              <w:left w:val="single" w:color="auto" w:sz="4" w:space="0"/>
              <w:bottom w:val="nil"/>
              <w:right w:val="nil"/>
            </w:tcBorders>
            <w:vAlign w:val="bottom"/>
          </w:tcPr>
          <w:p>
            <w:pPr>
              <w:spacing w:after="0" w:line="240" w:lineRule="auto"/>
            </w:pPr>
            <w:r>
              <w:rPr>
                <w:color w:val="000000"/>
                <w:spacing w:val="4"/>
              </w:rPr>
              <w:t xml:space="preserve">Please complete in </w:t>
            </w:r>
            <w:r>
              <w:rPr>
                <w:b/>
                <w:color w:val="000000"/>
                <w:spacing w:val="4"/>
              </w:rPr>
              <w:t>BLOCK LETTERS</w:t>
            </w:r>
            <w:r>
              <w:rPr>
                <w:color w:val="000000"/>
                <w:spacing w:val="4"/>
              </w:rPr>
              <w:t xml:space="preserve"> </w:t>
            </w:r>
            <w:r>
              <w:rPr>
                <w:rFonts w:hint="eastAsia" w:asciiTheme="minorEastAsia" w:hAnsiTheme="minorEastAsia"/>
                <w:color w:val="000000"/>
                <w:spacing w:val="4"/>
              </w:rPr>
              <w:t xml:space="preserve"> </w:t>
            </w:r>
            <w:r>
              <w:rPr>
                <w:rFonts w:hint="eastAsia" w:ascii="仿宋" w:hAnsi="仿宋" w:eastAsia="仿宋"/>
                <w:color w:val="000000"/>
                <w:spacing w:val="13"/>
              </w:rPr>
              <w:t>請用正楷填寫</w:t>
            </w:r>
          </w:p>
        </w:tc>
        <w:tc>
          <w:tcPr>
            <w:tcW w:w="2942" w:type="dxa"/>
            <w:gridSpan w:val="6"/>
            <w:tcBorders>
              <w:top w:val="single" w:color="auto" w:sz="4" w:space="0"/>
              <w:left w:val="nil"/>
              <w:bottom w:val="nil"/>
              <w:right w:val="nil"/>
            </w:tcBorders>
            <w:vAlign w:val="bottom"/>
          </w:tcPr>
          <w:p>
            <w:pPr>
              <w:spacing w:after="0" w:line="240" w:lineRule="auto"/>
            </w:pPr>
          </w:p>
        </w:tc>
        <w:tc>
          <w:tcPr>
            <w:tcW w:w="1155" w:type="dxa"/>
            <w:gridSpan w:val="6"/>
            <w:vMerge w:val="restart"/>
            <w:tcBorders>
              <w:top w:val="single" w:color="auto" w:sz="4" w:space="0"/>
              <w:left w:val="nil"/>
              <w:right w:val="nil"/>
            </w:tcBorders>
            <w:vAlign w:val="center"/>
          </w:tcPr>
          <w:p>
            <w:pPr>
              <w:spacing w:after="0" w:line="240" w:lineRule="auto"/>
              <w:jc w:val="center"/>
            </w:pPr>
            <w:r>
              <w:rPr>
                <w:rFonts w:cs="Times New Roman"/>
                <w:color w:val="000000"/>
                <w:spacing w:val="4"/>
              </w:rPr>
              <w:t>Date</w:t>
            </w:r>
            <w:r>
              <w:rPr>
                <w:rFonts w:hint="eastAsia" w:cs="Times New Roman"/>
                <w:color w:val="000000"/>
                <w:spacing w:val="4"/>
              </w:rPr>
              <w:t xml:space="preserve"> </w:t>
            </w:r>
            <w:r>
              <w:rPr>
                <w:rFonts w:hint="eastAsia" w:ascii="仿宋" w:hAnsi="仿宋" w:eastAsia="仿宋"/>
                <w:color w:val="000000"/>
                <w:spacing w:val="13"/>
              </w:rPr>
              <w:t>日期</w:t>
            </w:r>
            <w:r>
              <w:rPr>
                <w:rFonts w:hint="eastAsia" w:ascii="仿宋" w:hAnsi="仿宋"/>
                <w:color w:val="000000"/>
                <w:spacing w:val="13"/>
              </w:rPr>
              <w:t>:</w:t>
            </w:r>
          </w:p>
        </w:tc>
        <w:tc>
          <w:tcPr>
            <w:tcW w:w="3260" w:type="dxa"/>
            <w:gridSpan w:val="4"/>
            <w:vMerge w:val="restart"/>
            <w:tcBorders>
              <w:top w:val="single" w:color="auto" w:sz="4" w:space="0"/>
              <w:left w:val="nil"/>
              <w:right w:val="single" w:color="auto" w:sz="4" w:space="0"/>
            </w:tcBorders>
            <w:vAlign w:val="center"/>
          </w:tcPr>
          <w:p>
            <w:pPr>
              <w:spacing w:after="0" w:line="240" w:lineRule="auto"/>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exact"/>
        </w:trPr>
        <w:tc>
          <w:tcPr>
            <w:tcW w:w="2410" w:type="dxa"/>
            <w:gridSpan w:val="2"/>
            <w:tcBorders>
              <w:top w:val="nil"/>
              <w:left w:val="single" w:color="auto" w:sz="4" w:space="0"/>
              <w:bottom w:val="nil"/>
              <w:right w:val="nil"/>
            </w:tcBorders>
            <w:vAlign w:val="bottom"/>
          </w:tcPr>
          <w:p>
            <w:pPr>
              <w:tabs>
                <w:tab w:val="left" w:pos="2040"/>
              </w:tabs>
              <w:spacing w:after="0" w:line="240" w:lineRule="auto"/>
            </w:pPr>
            <w:r>
              <w:rPr>
                <w:rFonts w:hint="eastAsia" w:cs="Times New Roman"/>
                <w:color w:val="000000"/>
                <w:spacing w:val="4"/>
              </w:rPr>
              <w:t>Ref</w:t>
            </w:r>
            <w:r>
              <w:rPr>
                <w:rFonts w:cs="Times New Roman"/>
                <w:color w:val="000000"/>
                <w:spacing w:val="4"/>
              </w:rPr>
              <w:t>erence</w:t>
            </w:r>
            <w:r>
              <w:rPr>
                <w:rFonts w:hint="eastAsia" w:cs="Times New Roman"/>
                <w:color w:val="000000"/>
                <w:spacing w:val="4"/>
              </w:rPr>
              <w:t xml:space="preserve"> N</w:t>
            </w:r>
            <w:r>
              <w:rPr>
                <w:rFonts w:cs="Times New Roman"/>
                <w:color w:val="000000"/>
                <w:spacing w:val="4"/>
              </w:rPr>
              <w:t>umber</w:t>
            </w:r>
            <w:r>
              <w:rPr>
                <w:rFonts w:hint="eastAsia" w:cs="Times New Roman"/>
                <w:color w:val="000000"/>
                <w:spacing w:val="4"/>
              </w:rPr>
              <w:t xml:space="preserve"> </w:t>
            </w:r>
            <w:r>
              <w:rPr>
                <w:rFonts w:hint="eastAsia" w:ascii="仿宋" w:hAnsi="仿宋" w:eastAsia="仿宋"/>
                <w:color w:val="000000"/>
                <w:spacing w:val="13"/>
              </w:rPr>
              <w:t>諮詢編號:</w:t>
            </w:r>
          </w:p>
        </w:tc>
        <w:tc>
          <w:tcPr>
            <w:tcW w:w="4657" w:type="dxa"/>
            <w:gridSpan w:val="12"/>
            <w:tcBorders>
              <w:top w:val="nil"/>
              <w:left w:val="nil"/>
              <w:bottom w:val="single" w:color="auto" w:sz="4" w:space="0"/>
              <w:right w:val="nil"/>
            </w:tcBorders>
            <w:vAlign w:val="bottom"/>
          </w:tcPr>
          <w:p>
            <w:pPr>
              <w:spacing w:after="0" w:line="240" w:lineRule="auto"/>
            </w:pPr>
            <w:r>
              <w:rPr>
                <w:color w:val="000000"/>
                <w:spacing w:val="16"/>
              </w:rPr>
              <w:fldChar w:fldCharType="begin">
                <w:ffData>
                  <w:enabled/>
                  <w:calcOnExit w:val="0"/>
                  <w:textInput>
                    <w:maxLength w:val="4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55" w:type="dxa"/>
            <w:gridSpan w:val="6"/>
            <w:vMerge w:val="continue"/>
            <w:tcBorders>
              <w:left w:val="nil"/>
              <w:bottom w:val="single" w:color="auto" w:sz="4" w:space="0"/>
              <w:right w:val="nil"/>
            </w:tcBorders>
            <w:vAlign w:val="bottom"/>
          </w:tcPr>
          <w:p>
            <w:pPr>
              <w:spacing w:after="0" w:line="240" w:lineRule="auto"/>
            </w:pPr>
          </w:p>
        </w:tc>
        <w:tc>
          <w:tcPr>
            <w:tcW w:w="3260" w:type="dxa"/>
            <w:gridSpan w:val="4"/>
            <w:vMerge w:val="continue"/>
            <w:tcBorders>
              <w:left w:val="nil"/>
              <w:bottom w:val="single" w:color="auto" w:sz="4" w:space="0"/>
              <w:right w:val="single" w:color="auto" w:sz="4" w:space="0"/>
            </w:tcBorders>
            <w:vAlign w:val="bottom"/>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1482" w:type="dxa"/>
            <w:gridSpan w:val="24"/>
            <w:tcBorders>
              <w:left w:val="single" w:color="auto" w:sz="4" w:space="0"/>
              <w:bottom w:val="single" w:color="auto" w:sz="4" w:space="0"/>
            </w:tcBorders>
            <w:shd w:val="clear" w:color="auto" w:fill="D8D8D8" w:themeFill="background1" w:themeFillShade="D9"/>
            <w:vAlign w:val="center"/>
          </w:tcPr>
          <w:p>
            <w:pPr>
              <w:spacing w:after="0" w:line="240" w:lineRule="auto"/>
              <w:rPr>
                <w:b/>
                <w:color w:val="000000" w:themeColor="text1"/>
                <w:spacing w:val="16"/>
                <w14:textFill>
                  <w14:solidFill>
                    <w14:schemeClr w14:val="tx1"/>
                  </w14:solidFill>
                </w14:textFill>
              </w:rPr>
            </w:pPr>
            <w:r>
              <w:rPr>
                <w:rFonts w:hint="eastAsia" w:cs="Times New Roman"/>
                <w:b/>
                <w:color w:val="000000" w:themeColor="text1"/>
                <w:spacing w:val="4"/>
                <w14:textFill>
                  <w14:solidFill>
                    <w14:schemeClr w14:val="tx1"/>
                  </w14:solidFill>
                </w14:textFill>
              </w:rPr>
              <w:t>Customer</w:t>
            </w:r>
            <w:r>
              <w:rPr>
                <w:rFonts w:cs="Times New Roman"/>
                <w:b/>
                <w:color w:val="000000" w:themeColor="text1"/>
                <w:spacing w:val="4"/>
                <w14:textFill>
                  <w14:solidFill>
                    <w14:schemeClr w14:val="tx1"/>
                  </w14:solidFill>
                </w14:textFill>
              </w:rPr>
              <w:t>’</w:t>
            </w:r>
            <w:r>
              <w:rPr>
                <w:rFonts w:hint="eastAsia" w:cs="Times New Roman"/>
                <w:b/>
                <w:color w:val="000000" w:themeColor="text1"/>
                <w:spacing w:val="4"/>
                <w14:textFill>
                  <w14:solidFill>
                    <w14:schemeClr w14:val="tx1"/>
                  </w14:solidFill>
                </w14:textFill>
              </w:rPr>
              <w:t>s Information</w:t>
            </w:r>
            <w:r>
              <w:rPr>
                <w:rFonts w:hint="eastAsia"/>
                <w:b/>
                <w:color w:val="000000" w:themeColor="text1"/>
                <w:spacing w:val="16"/>
                <w14:textFill>
                  <w14:solidFill>
                    <w14:schemeClr w14:val="tx1"/>
                  </w14:solidFill>
                </w14:textFill>
              </w:rPr>
              <w:t xml:space="preserve">  </w:t>
            </w:r>
            <w:r>
              <w:rPr>
                <w:rFonts w:hint="eastAsia" w:ascii="仿宋" w:hAnsi="仿宋" w:eastAsia="仿宋"/>
                <w:b/>
                <w:color w:val="000000" w:themeColor="text1"/>
                <w:spacing w:val="13"/>
                <w14:textFill>
                  <w14:solidFill>
                    <w14:schemeClr w14:val="tx1"/>
                  </w14:solidFill>
                </w14:textFill>
              </w:rPr>
              <w:t>客户資料</w:t>
            </w:r>
            <w:r>
              <w:rPr>
                <w:rFonts w:ascii="仿宋" w:hAnsi="仿宋" w:eastAsia="仿宋"/>
                <w:b/>
                <w:color w:val="000000" w:themeColor="text1"/>
                <w:spacing w:val="13"/>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2410" w:type="dxa"/>
            <w:gridSpan w:val="2"/>
            <w:tcBorders>
              <w:left w:val="single" w:color="auto" w:sz="4" w:space="0"/>
              <w:bottom w:val="single" w:color="auto" w:sz="4" w:space="0"/>
            </w:tcBorders>
            <w:vAlign w:val="center"/>
          </w:tcPr>
          <w:p>
            <w:pPr>
              <w:spacing w:after="0" w:line="240" w:lineRule="auto"/>
              <w:rPr>
                <w:color w:val="000000" w:themeColor="text1"/>
                <w:spacing w:val="16"/>
                <w14:textFill>
                  <w14:solidFill>
                    <w14:schemeClr w14:val="tx1"/>
                  </w14:solidFill>
                </w14:textFill>
              </w:rPr>
            </w:pPr>
            <w:r>
              <w:rPr>
                <w:rFonts w:hint="eastAsia" w:cs="Times New Roman"/>
                <w:color w:val="000000" w:themeColor="text1"/>
                <w:spacing w:val="4"/>
                <w14:textFill>
                  <w14:solidFill>
                    <w14:schemeClr w14:val="tx1"/>
                  </w14:solidFill>
                </w14:textFill>
              </w:rPr>
              <w:t>Customer</w:t>
            </w:r>
            <w:r>
              <w:rPr>
                <w:rFonts w:cs="Times New Roman"/>
                <w:color w:val="000000" w:themeColor="text1"/>
                <w:spacing w:val="4"/>
                <w14:textFill>
                  <w14:solidFill>
                    <w14:schemeClr w14:val="tx1"/>
                  </w14:solidFill>
                </w14:textFill>
              </w:rPr>
              <w:t>’</w:t>
            </w:r>
            <w:r>
              <w:rPr>
                <w:rFonts w:hint="eastAsia" w:cs="Times New Roman"/>
                <w:color w:val="000000" w:themeColor="text1"/>
                <w:spacing w:val="4"/>
                <w14:textFill>
                  <w14:solidFill>
                    <w14:schemeClr w14:val="tx1"/>
                  </w14:solidFill>
                </w14:textFill>
              </w:rPr>
              <w:t>s Name</w:t>
            </w:r>
            <w:r>
              <w:rPr>
                <w:rFonts w:hint="eastAsia"/>
                <w:color w:val="000000" w:themeColor="text1"/>
                <w:spacing w:val="16"/>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客户名稱</w:t>
            </w:r>
          </w:p>
        </w:tc>
        <w:tc>
          <w:tcPr>
            <w:tcW w:w="5812" w:type="dxa"/>
            <w:gridSpan w:val="18"/>
            <w:tcBorders>
              <w:bottom w:val="single" w:color="auto" w:sz="4" w:space="0"/>
            </w:tcBorders>
            <w:vAlign w:val="center"/>
          </w:tcPr>
          <w:p>
            <w:pPr>
              <w:spacing w:after="0" w:line="240" w:lineRule="auto"/>
              <w:rPr>
                <w:color w:val="000000" w:themeColor="text1"/>
                <w:spacing w:val="16"/>
                <w:lang w:eastAsia="zh-CN"/>
                <w14:textFill>
                  <w14:solidFill>
                    <w14:schemeClr w14:val="tx1"/>
                  </w14:solidFill>
                </w14:textFill>
              </w:rPr>
            </w:pPr>
            <w:bookmarkStart w:id="1" w:name="Text4"/>
            <w:r>
              <w:rPr>
                <w:color w:val="000000" w:themeColor="text1"/>
                <w:spacing w:val="16"/>
                <w14:textFill>
                  <w14:solidFill>
                    <w14:schemeClr w14:val="tx1"/>
                  </w14:solidFill>
                </w14:textFill>
              </w:rPr>
              <w:fldChar w:fldCharType="begin">
                <w:ffData>
                  <w:name w:val="Text4"/>
                  <w:enabled/>
                  <w:calcOnExit w:val="0"/>
                  <w:textInput>
                    <w:maxLength w:val="47"/>
                  </w:textInput>
                </w:ffData>
              </w:fldChar>
            </w:r>
            <w:r>
              <w:rPr>
                <w:color w:val="000000" w:themeColor="text1"/>
                <w:spacing w:val="16"/>
                <w:lang w:eastAsia="zh-CN"/>
                <w14:textFill>
                  <w14:solidFill>
                    <w14:schemeClr w14:val="tx1"/>
                  </w14:solidFill>
                </w14:textFill>
              </w:rPr>
              <w:instrText xml:space="preserve"> FORMTEXT </w:instrText>
            </w:r>
            <w:r>
              <w:rPr>
                <w:color w:val="000000" w:themeColor="text1"/>
                <w:spacing w:val="16"/>
                <w14:textFill>
                  <w14:solidFill>
                    <w14:schemeClr w14:val="tx1"/>
                  </w14:solidFill>
                </w14:textFill>
              </w:rPr>
              <w:fldChar w:fldCharType="separate"/>
            </w:r>
            <w:r>
              <w:rPr>
                <w:color w:val="000000" w:themeColor="text1"/>
                <w:spacing w:val="16"/>
                <w14:textFill>
                  <w14:solidFill>
                    <w14:schemeClr w14:val="tx1"/>
                  </w14:solidFill>
                </w14:textFill>
              </w:rPr>
              <w:t>     </w:t>
            </w:r>
            <w:r>
              <w:rPr>
                <w:color w:val="000000" w:themeColor="text1"/>
                <w:spacing w:val="16"/>
                <w14:textFill>
                  <w14:solidFill>
                    <w14:schemeClr w14:val="tx1"/>
                  </w14:solidFill>
                </w14:textFill>
              </w:rPr>
              <w:fldChar w:fldCharType="end"/>
            </w:r>
            <w:bookmarkEnd w:id="1"/>
          </w:p>
        </w:tc>
        <w:tc>
          <w:tcPr>
            <w:tcW w:w="1148" w:type="dxa"/>
            <w:tcBorders>
              <w:bottom w:val="single" w:color="auto" w:sz="4" w:space="0"/>
              <w:right w:val="nil"/>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6"/>
                <w14:textFill>
                  <w14:solidFill>
                    <w14:schemeClr w14:val="tx1"/>
                  </w14:solidFill>
                </w14:textFill>
              </w:rPr>
              <w:t xml:space="preserve">Tel. No. </w:t>
            </w:r>
            <w:r>
              <w:rPr>
                <w:rFonts w:hint="eastAsia" w:ascii="仿宋" w:hAnsi="仿宋" w:eastAsia="仿宋"/>
                <w:color w:val="000000" w:themeColor="text1"/>
                <w:spacing w:val="13"/>
                <w14:textFill>
                  <w14:solidFill>
                    <w14:schemeClr w14:val="tx1"/>
                  </w14:solidFill>
                </w14:textFill>
              </w:rPr>
              <w:t>電話</w:t>
            </w:r>
          </w:p>
        </w:tc>
        <w:tc>
          <w:tcPr>
            <w:tcW w:w="2112" w:type="dxa"/>
            <w:gridSpan w:val="3"/>
            <w:tcBorders>
              <w:left w:val="nil"/>
              <w:bottom w:val="single" w:color="auto" w:sz="4" w:space="0"/>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16"/>
                <w14:textFill>
                  <w14:solidFill>
                    <w14:schemeClr w14:val="tx1"/>
                  </w14:solidFill>
                </w14:textFill>
              </w:rPr>
              <w:fldChar w:fldCharType="begin">
                <w:ffData>
                  <w:enabled/>
                  <w:calcOnExit w:val="0"/>
                  <w:textInput>
                    <w:maxLength w:val="13"/>
                  </w:textInput>
                </w:ffData>
              </w:fldChar>
            </w:r>
            <w:r>
              <w:rPr>
                <w:color w:val="000000" w:themeColor="text1"/>
                <w:spacing w:val="16"/>
                <w14:textFill>
                  <w14:solidFill>
                    <w14:schemeClr w14:val="tx1"/>
                  </w14:solidFill>
                </w14:textFill>
              </w:rPr>
              <w:instrText xml:space="preserve"> FORMTEXT </w:instrText>
            </w:r>
            <w:r>
              <w:rPr>
                <w:color w:val="000000" w:themeColor="text1"/>
                <w:spacing w:val="16"/>
                <w14:textFill>
                  <w14:solidFill>
                    <w14:schemeClr w14:val="tx1"/>
                  </w14:solidFill>
                </w14:textFill>
              </w:rPr>
              <w:fldChar w:fldCharType="separate"/>
            </w:r>
            <w:r>
              <w:rPr>
                <w:color w:val="000000" w:themeColor="text1"/>
                <w:spacing w:val="16"/>
                <w14:textFill>
                  <w14:solidFill>
                    <w14:schemeClr w14:val="tx1"/>
                  </w14:solidFill>
                </w14:textFill>
              </w:rPr>
              <w:t>     </w:t>
            </w:r>
            <w:r>
              <w:rPr>
                <w:color w:val="000000" w:themeColor="text1"/>
                <w:spacing w:val="16"/>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513" w:type="dxa"/>
            <w:gridSpan w:val="16"/>
            <w:tcBorders>
              <w:left w:val="single" w:color="auto" w:sz="4" w:space="0"/>
              <w:right w:val="single" w:color="auto" w:sz="12" w:space="0"/>
            </w:tcBorders>
            <w:shd w:val="clear" w:color="auto" w:fill="D8D8D8" w:themeFill="background1" w:themeFillShade="D9"/>
            <w:vAlign w:val="center"/>
          </w:tcPr>
          <w:p>
            <w:pPr>
              <w:spacing w:after="0" w:line="240" w:lineRule="auto"/>
              <w:rPr>
                <w:color w:val="000000" w:themeColor="text1"/>
                <w:spacing w:val="16"/>
                <w14:textFill>
                  <w14:solidFill>
                    <w14:schemeClr w14:val="tx1"/>
                  </w14:solidFill>
                </w14:textFill>
              </w:rPr>
            </w:pPr>
            <w:r>
              <w:rPr>
                <w:rFonts w:hint="eastAsia"/>
                <w:b/>
                <w:color w:val="000000" w:themeColor="text1"/>
                <w:spacing w:val="3"/>
                <w14:textFill>
                  <w14:solidFill>
                    <w14:schemeClr w14:val="tx1"/>
                  </w14:solidFill>
                </w14:textFill>
              </w:rPr>
              <w:t>Remittance Instruction</w:t>
            </w:r>
            <w:r>
              <w:rPr>
                <w:rFonts w:hint="eastAsia" w:ascii="仿宋" w:hAnsi="仿宋" w:eastAsia="仿宋"/>
                <w:b/>
                <w:color w:val="000000" w:themeColor="text1"/>
                <w:spacing w:val="13"/>
                <w14:textFill>
                  <w14:solidFill>
                    <w14:schemeClr w14:val="tx1"/>
                  </w14:solidFill>
                </w14:textFill>
              </w:rPr>
              <w:t>匯款指示</w:t>
            </w:r>
          </w:p>
        </w:tc>
        <w:tc>
          <w:tcPr>
            <w:tcW w:w="3969" w:type="dxa"/>
            <w:gridSpan w:val="8"/>
            <w:tcBorders>
              <w:top w:val="single" w:color="auto" w:sz="12" w:space="0"/>
              <w:left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rPr>
                <w:b/>
                <w:color w:val="000000" w:themeColor="text1"/>
                <w:spacing w:val="16"/>
                <w14:textFill>
                  <w14:solidFill>
                    <w14:schemeClr w14:val="tx1"/>
                  </w14:solidFill>
                </w14:textFill>
              </w:rPr>
            </w:pPr>
            <w:r>
              <w:rPr>
                <w:rFonts w:hint="eastAsia"/>
                <w:b/>
                <w:color w:val="000000" w:themeColor="text1"/>
                <w:spacing w:val="3"/>
                <w14:textFill>
                  <w14:solidFill>
                    <w14:schemeClr w14:val="tx1"/>
                  </w14:solidFill>
                </w14:textFill>
              </w:rPr>
              <w:t>For Bank Use Only</w:t>
            </w:r>
            <w:r>
              <w:rPr>
                <w:rFonts w:hint="eastAsia"/>
                <w:b/>
                <w:color w:val="000000" w:themeColor="text1"/>
                <w:spacing w:val="16"/>
                <w14:textFill>
                  <w14:solidFill>
                    <w14:schemeClr w14:val="tx1"/>
                  </w14:solidFill>
                </w14:textFill>
              </w:rPr>
              <w:t xml:space="preserve"> </w:t>
            </w:r>
            <w:r>
              <w:rPr>
                <w:rFonts w:hint="eastAsia" w:ascii="仿宋" w:hAnsi="仿宋" w:eastAsia="仿宋"/>
                <w:b/>
                <w:color w:val="000000" w:themeColor="text1"/>
                <w:spacing w:val="13"/>
                <w14:textFill>
                  <w14:solidFill>
                    <w14:schemeClr w14:val="tx1"/>
                  </w14:solidFill>
                </w14:textFill>
              </w:rPr>
              <w:t>銀行專用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2424" w:type="dxa"/>
            <w:gridSpan w:val="3"/>
            <w:vMerge w:val="restart"/>
            <w:tcBorders>
              <w:left w:val="single" w:color="auto" w:sz="4" w:space="0"/>
            </w:tcBorders>
            <w:vAlign w:val="center"/>
          </w:tcPr>
          <w:p>
            <w:pPr>
              <w:spacing w:after="0" w:line="240" w:lineRule="auto"/>
              <w:rPr>
                <w:rFonts w:cs="Times New Roman"/>
                <w:color w:val="000000" w:themeColor="text1"/>
                <w:spacing w:val="4"/>
                <w14:textFill>
                  <w14:solidFill>
                    <w14:schemeClr w14:val="tx1"/>
                  </w14:solidFill>
                </w14:textFill>
              </w:rPr>
            </w:pPr>
            <w:r>
              <w:rPr>
                <w:rFonts w:hint="eastAsia"/>
                <w:color w:val="000000" w:themeColor="text1"/>
                <w:spacing w:val="3"/>
                <w14:textFill>
                  <w14:solidFill>
                    <w14:schemeClr w14:val="tx1"/>
                  </w14:solidFill>
                </w14:textFill>
              </w:rPr>
              <w:t xml:space="preserve">Remittance </w:t>
            </w:r>
            <w:r>
              <w:rPr>
                <w:color w:val="000000" w:themeColor="text1"/>
                <w:spacing w:val="3"/>
                <w14:textFill>
                  <w14:solidFill>
                    <w14:schemeClr w14:val="tx1"/>
                  </w14:solidFill>
                </w14:textFill>
              </w:rPr>
              <w:t>(</w:t>
            </w:r>
            <w:r>
              <w:rPr>
                <w:rFonts w:cs="Times New Roman"/>
                <w:color w:val="000000" w:themeColor="text1"/>
                <w:spacing w:val="4"/>
                <w14:textFill>
                  <w14:solidFill>
                    <w14:schemeClr w14:val="tx1"/>
                  </w14:solidFill>
                </w14:textFill>
              </w:rPr>
              <w:t xml:space="preserve">Currency) </w:t>
            </w:r>
            <w:r>
              <w:rPr>
                <w:rFonts w:eastAsia="宋体"/>
                <w:color w:val="000000" w:themeColor="text1"/>
                <w:spacing w:val="3"/>
                <w:lang w:eastAsia="zh-CN"/>
                <w14:textFill>
                  <w14:solidFill>
                    <w14:schemeClr w14:val="tx1"/>
                  </w14:solidFill>
                </w14:textFill>
              </w:rPr>
              <w:t>/</w:t>
            </w:r>
            <w:r>
              <w:rPr>
                <w:rFonts w:cs="Times New Roman"/>
                <w:color w:val="000000" w:themeColor="text1"/>
                <w:spacing w:val="4"/>
                <w14:textFill>
                  <w14:solidFill>
                    <w14:schemeClr w14:val="tx1"/>
                  </w14:solidFill>
                </w14:textFill>
              </w:rPr>
              <w:t>Amount</w:t>
            </w:r>
          </w:p>
          <w:p>
            <w:pPr>
              <w:spacing w:after="0" w:line="240" w:lineRule="auto"/>
              <w:rPr>
                <w:color w:val="000000" w:themeColor="text1"/>
                <w:spacing w:val="16"/>
                <w14:textFill>
                  <w14:solidFill>
                    <w14:schemeClr w14:val="tx1"/>
                  </w14:solidFill>
                </w14:textFill>
              </w:rPr>
            </w:pPr>
            <w:r>
              <w:rPr>
                <w:rFonts w:hint="eastAsia" w:ascii="仿宋" w:hAnsi="仿宋" w:eastAsia="仿宋"/>
                <w:color w:val="000000" w:themeColor="text1"/>
                <w:spacing w:val="13"/>
                <w14:textFill>
                  <w14:solidFill>
                    <w14:schemeClr w14:val="tx1"/>
                  </w14:solidFill>
                </w14:textFill>
              </w:rPr>
              <w:t>匯款</w:t>
            </w:r>
            <w:r>
              <w:rPr>
                <w:rFonts w:ascii="仿宋" w:hAnsi="仿宋" w:eastAsia="仿宋"/>
                <w:color w:val="000000" w:themeColor="text1"/>
                <w:spacing w:val="13"/>
                <w14:textFill>
                  <w14:solidFill>
                    <w14:schemeClr w14:val="tx1"/>
                  </w14:solidFill>
                </w14:textFill>
              </w:rPr>
              <w:t>(</w:t>
            </w:r>
            <w:r>
              <w:rPr>
                <w:rFonts w:hint="eastAsia" w:ascii="仿宋" w:hAnsi="仿宋" w:eastAsia="仿宋"/>
                <w:color w:val="000000"/>
                <w:spacing w:val="13"/>
              </w:rPr>
              <w:t>幣種</w:t>
            </w:r>
            <w:r>
              <w:rPr>
                <w:rFonts w:ascii="仿宋" w:hAnsi="仿宋" w:eastAsia="仿宋"/>
                <w:color w:val="000000" w:themeColor="text1"/>
                <w:spacing w:val="13"/>
                <w14:textFill>
                  <w14:solidFill>
                    <w14:schemeClr w14:val="tx1"/>
                  </w14:solidFill>
                </w14:textFill>
              </w:rPr>
              <w:t>)/</w:t>
            </w:r>
            <w:r>
              <w:rPr>
                <w:rFonts w:hint="eastAsia" w:ascii="仿宋" w:hAnsi="仿宋" w:eastAsia="仿宋"/>
                <w:color w:val="000000" w:themeColor="text1"/>
                <w:spacing w:val="13"/>
                <w14:textFill>
                  <w14:solidFill>
                    <w14:schemeClr w14:val="tx1"/>
                  </w14:solidFill>
                </w14:textFill>
              </w:rPr>
              <w:t>金額</w:t>
            </w:r>
            <w:r>
              <w:rPr>
                <w:rFonts w:hint="eastAsia" w:ascii="仿宋" w:hAnsi="仿宋"/>
                <w:color w:val="000000" w:themeColor="text1"/>
                <w:spacing w:val="13"/>
                <w14:textFill>
                  <w14:solidFill>
                    <w14:schemeClr w14:val="tx1"/>
                  </w14:solidFill>
                </w14:textFill>
              </w:rPr>
              <w:t>:</w:t>
            </w:r>
          </w:p>
        </w:tc>
        <w:tc>
          <w:tcPr>
            <w:tcW w:w="5089" w:type="dxa"/>
            <w:gridSpan w:val="13"/>
            <w:vMerge w:val="restart"/>
            <w:tcBorders>
              <w:right w:val="single" w:color="auto" w:sz="12" w:space="0"/>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16"/>
                <w:sz w:val="22"/>
                <w14:textFill>
                  <w14:solidFill>
                    <w14:schemeClr w14:val="tx1"/>
                  </w14:solidFill>
                </w14:textFill>
              </w:rPr>
              <w:t>(</w:t>
            </w:r>
            <w:r>
              <w:rPr>
                <w:color w:val="000000" w:themeColor="text1"/>
                <w:spacing w:val="16"/>
                <w:sz w:val="22"/>
                <w14:textFill>
                  <w14:solidFill>
                    <w14:schemeClr w14:val="tx1"/>
                  </w14:solidFill>
                </w14:textFill>
              </w:rPr>
              <w:fldChar w:fldCharType="begin">
                <w:ffData>
                  <w:enabled/>
                  <w:calcOnExit w:val="0"/>
                  <w:textInput>
                    <w:default w:val="           "/>
                    <w:maxLength w:val="30"/>
                  </w:textInput>
                </w:ffData>
              </w:fldChar>
            </w:r>
            <w:r>
              <w:rPr>
                <w:color w:val="000000" w:themeColor="text1"/>
                <w:spacing w:val="16"/>
                <w:sz w:val="22"/>
                <w14:textFill>
                  <w14:solidFill>
                    <w14:schemeClr w14:val="tx1"/>
                  </w14:solidFill>
                </w14:textFill>
              </w:rPr>
              <w:instrText xml:space="preserve"> FORMTEXT </w:instrText>
            </w:r>
            <w:r>
              <w:rPr>
                <w:color w:val="000000" w:themeColor="text1"/>
                <w:spacing w:val="16"/>
                <w:sz w:val="22"/>
                <w14:textFill>
                  <w14:solidFill>
                    <w14:schemeClr w14:val="tx1"/>
                  </w14:solidFill>
                </w14:textFill>
              </w:rPr>
              <w:fldChar w:fldCharType="separate"/>
            </w:r>
            <w:r>
              <w:rPr>
                <w:color w:val="000000" w:themeColor="text1"/>
                <w:spacing w:val="16"/>
                <w:sz w:val="22"/>
                <w14:textFill>
                  <w14:solidFill>
                    <w14:schemeClr w14:val="tx1"/>
                  </w14:solidFill>
                </w14:textFill>
              </w:rPr>
              <w:t>     </w:t>
            </w:r>
            <w:r>
              <w:rPr>
                <w:color w:val="000000" w:themeColor="text1"/>
                <w:spacing w:val="16"/>
                <w:sz w:val="22"/>
                <w14:textFill>
                  <w14:solidFill>
                    <w14:schemeClr w14:val="tx1"/>
                  </w14:solidFill>
                </w14:textFill>
              </w:rPr>
              <w:fldChar w:fldCharType="end"/>
            </w:r>
            <w:r>
              <w:rPr>
                <w:color w:val="000000" w:themeColor="text1"/>
                <w:spacing w:val="16"/>
                <w:sz w:val="22"/>
                <w14:textFill>
                  <w14:solidFill>
                    <w14:schemeClr w14:val="tx1"/>
                  </w14:solidFill>
                </w14:textFill>
              </w:rPr>
              <w:t xml:space="preserve">)  </w:t>
            </w:r>
            <w:r>
              <w:rPr>
                <w:color w:val="000000" w:themeColor="text1"/>
                <w:spacing w:val="16"/>
                <w:sz w:val="22"/>
                <w14:textFill>
                  <w14:solidFill>
                    <w14:schemeClr w14:val="tx1"/>
                  </w14:solidFill>
                </w14:textFill>
              </w:rPr>
              <w:fldChar w:fldCharType="begin">
                <w:ffData>
                  <w:enabled/>
                  <w:calcOnExit w:val="0"/>
                  <w:textInput>
                    <w:maxLength w:val="30"/>
                  </w:textInput>
                </w:ffData>
              </w:fldChar>
            </w:r>
            <w:r>
              <w:rPr>
                <w:color w:val="000000" w:themeColor="text1"/>
                <w:spacing w:val="16"/>
                <w:sz w:val="22"/>
                <w14:textFill>
                  <w14:solidFill>
                    <w14:schemeClr w14:val="tx1"/>
                  </w14:solidFill>
                </w14:textFill>
              </w:rPr>
              <w:instrText xml:space="preserve"> FORMTEXT </w:instrText>
            </w:r>
            <w:r>
              <w:rPr>
                <w:color w:val="000000" w:themeColor="text1"/>
                <w:spacing w:val="16"/>
                <w:sz w:val="22"/>
                <w14:textFill>
                  <w14:solidFill>
                    <w14:schemeClr w14:val="tx1"/>
                  </w14:solidFill>
                </w14:textFill>
              </w:rPr>
              <w:fldChar w:fldCharType="separate"/>
            </w:r>
            <w:r>
              <w:rPr>
                <w:color w:val="000000" w:themeColor="text1"/>
                <w:spacing w:val="16"/>
                <w:sz w:val="22"/>
                <w14:textFill>
                  <w14:solidFill>
                    <w14:schemeClr w14:val="tx1"/>
                  </w14:solidFill>
                </w14:textFill>
              </w:rPr>
              <w:t>     </w:t>
            </w:r>
            <w:r>
              <w:rPr>
                <w:color w:val="000000" w:themeColor="text1"/>
                <w:spacing w:val="16"/>
                <w:sz w:val="22"/>
                <w14:textFill>
                  <w14:solidFill>
                    <w14:schemeClr w14:val="tx1"/>
                  </w14:solidFill>
                </w14:textFill>
              </w:rPr>
              <w:fldChar w:fldCharType="end"/>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r>
              <w:rPr>
                <w:rFonts w:hint="eastAsia"/>
                <w:color w:val="000000" w:themeColor="text1"/>
                <w:spacing w:val="3"/>
                <w14:textFill>
                  <w14:solidFill>
                    <w14:schemeClr w14:val="tx1"/>
                  </w14:solidFill>
                </w14:textFill>
              </w:rPr>
              <w:t>Rate</w:t>
            </w:r>
            <w:r>
              <w:rPr>
                <w:rFonts w:hint="eastAsia"/>
                <w:color w:val="000000" w:themeColor="text1"/>
                <w:spacing w:val="16"/>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匯價</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trPr>
        <w:tc>
          <w:tcPr>
            <w:tcW w:w="2424" w:type="dxa"/>
            <w:gridSpan w:val="3"/>
            <w:vMerge w:val="continue"/>
            <w:tcBorders>
              <w:left w:val="single" w:color="auto" w:sz="4" w:space="0"/>
              <w:bottom w:val="single" w:color="auto" w:sz="4" w:space="0"/>
            </w:tcBorders>
            <w:vAlign w:val="center"/>
          </w:tcPr>
          <w:p>
            <w:pPr>
              <w:spacing w:after="0" w:line="240" w:lineRule="auto"/>
              <w:rPr>
                <w:color w:val="000000" w:themeColor="text1"/>
                <w:spacing w:val="3"/>
                <w14:textFill>
                  <w14:solidFill>
                    <w14:schemeClr w14:val="tx1"/>
                  </w14:solidFill>
                </w14:textFill>
              </w:rPr>
            </w:pPr>
          </w:p>
        </w:tc>
        <w:tc>
          <w:tcPr>
            <w:tcW w:w="5089" w:type="dxa"/>
            <w:gridSpan w:val="13"/>
            <w:vMerge w:val="continue"/>
            <w:tcBorders>
              <w:bottom w:val="single" w:color="auto" w:sz="4"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3"/>
                <w14:textFill>
                  <w14:solidFill>
                    <w14:schemeClr w14:val="tx1"/>
                  </w14:solidFill>
                </w14:textFill>
              </w:rPr>
            </w:pPr>
            <w:r>
              <w:rPr>
                <w:rFonts w:hint="eastAsia"/>
                <w:color w:val="000000" w:themeColor="text1"/>
                <w:spacing w:val="3"/>
                <w14:textFill>
                  <w14:solidFill>
                    <w14:schemeClr w14:val="tx1"/>
                  </w14:solidFill>
                </w14:textFill>
              </w:rPr>
              <w:t xml:space="preserve">Net </w:t>
            </w:r>
            <w:r>
              <w:rPr>
                <w:rFonts w:hint="eastAsia" w:ascii="仿宋" w:hAnsi="仿宋" w:eastAsia="仿宋"/>
                <w:color w:val="000000" w:themeColor="text1"/>
                <w:spacing w:val="13"/>
                <w14:textFill>
                  <w14:solidFill>
                    <w14:schemeClr w14:val="tx1"/>
                  </w14:solidFill>
                </w14:textFill>
              </w:rPr>
              <w:t>折實</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exact"/>
        </w:trPr>
        <w:tc>
          <w:tcPr>
            <w:tcW w:w="2424" w:type="dxa"/>
            <w:gridSpan w:val="3"/>
            <w:vMerge w:val="restart"/>
            <w:tcBorders>
              <w:left w:val="single" w:color="auto" w:sz="4" w:space="0"/>
              <w:right w:val="single" w:color="auto" w:sz="4" w:space="0"/>
            </w:tcBorders>
            <w:vAlign w:val="center"/>
          </w:tcPr>
          <w:p>
            <w:pPr>
              <w:spacing w:after="0" w:line="240" w:lineRule="auto"/>
              <w:rPr>
                <w:color w:val="000000"/>
                <w:spacing w:val="16"/>
              </w:rPr>
            </w:pPr>
            <w:r>
              <w:rPr>
                <w:rFonts w:hint="eastAsia"/>
                <w:color w:val="000000"/>
                <w:spacing w:val="3"/>
              </w:rPr>
              <w:t>Debit A/C No</w:t>
            </w:r>
            <w:r>
              <w:rPr>
                <w:rFonts w:hint="eastAsia"/>
                <w:color w:val="000000"/>
                <w:spacing w:val="16"/>
              </w:rPr>
              <w:t xml:space="preserve">. </w:t>
            </w:r>
          </w:p>
          <w:p>
            <w:pPr>
              <w:spacing w:after="0" w:line="240" w:lineRule="auto"/>
              <w:rPr>
                <w:color w:val="000000"/>
                <w:spacing w:val="16"/>
              </w:rPr>
            </w:pPr>
            <w:r>
              <w:rPr>
                <w:rFonts w:hint="eastAsia" w:ascii="仿宋" w:hAnsi="仿宋" w:eastAsia="仿宋"/>
                <w:color w:val="000000"/>
                <w:spacing w:val="13"/>
              </w:rPr>
              <w:t>支付匯款金額之賬户號碼</w:t>
            </w:r>
          </w:p>
        </w:tc>
        <w:tc>
          <w:tcPr>
            <w:tcW w:w="3105" w:type="dxa"/>
            <w:gridSpan w:val="8"/>
            <w:tcBorders>
              <w:left w:val="single" w:color="auto" w:sz="4" w:space="0"/>
              <w:bottom w:val="nil"/>
              <w:right w:val="single" w:color="auto" w:sz="4" w:space="0"/>
            </w:tcBorders>
            <w:vAlign w:val="center"/>
          </w:tcPr>
          <w:p>
            <w:pPr>
              <w:spacing w:after="0" w:line="240" w:lineRule="auto"/>
              <w:rPr>
                <w:color w:val="000000"/>
                <w:spacing w:val="16"/>
              </w:rPr>
            </w:pPr>
            <w:r>
              <w:rPr>
                <w:rFonts w:hint="eastAsia" w:eastAsia="宋体"/>
                <w:color w:val="000000"/>
                <w:spacing w:val="16"/>
                <w:lang w:eastAsia="zh-CN"/>
              </w:rPr>
              <w:t xml:space="preserve">   </w:t>
            </w:r>
            <w:r>
              <w:rPr>
                <w:rFonts w:hint="eastAsia"/>
                <w:color w:val="000000"/>
                <w:spacing w:val="16"/>
              </w:rPr>
              <w:t xml:space="preserve">A/C No. </w:t>
            </w:r>
            <w:r>
              <w:rPr>
                <w:rFonts w:hint="eastAsia" w:ascii="仿宋" w:hAnsi="仿宋" w:eastAsia="仿宋"/>
                <w:color w:val="000000"/>
                <w:spacing w:val="13"/>
              </w:rPr>
              <w:t>賬户號碼</w:t>
            </w:r>
          </w:p>
        </w:tc>
        <w:tc>
          <w:tcPr>
            <w:tcW w:w="1984" w:type="dxa"/>
            <w:gridSpan w:val="5"/>
            <w:tcBorders>
              <w:left w:val="single" w:color="auto" w:sz="4" w:space="0"/>
              <w:bottom w:val="nil"/>
              <w:right w:val="single" w:color="auto" w:sz="12" w:space="0"/>
            </w:tcBorders>
            <w:vAlign w:val="center"/>
          </w:tcPr>
          <w:p>
            <w:pPr>
              <w:spacing w:after="0" w:line="240" w:lineRule="auto"/>
              <w:rPr>
                <w:color w:val="000000"/>
                <w:spacing w:val="16"/>
              </w:rPr>
            </w:pPr>
            <w:r>
              <w:rPr>
                <w:color w:val="000000"/>
                <w:spacing w:val="16"/>
              </w:rPr>
              <w:t xml:space="preserve">A/C </w:t>
            </w:r>
            <w:r>
              <w:rPr>
                <w:rFonts w:cs="Times New Roman"/>
                <w:color w:val="000000"/>
                <w:spacing w:val="4"/>
              </w:rPr>
              <w:t>Currency</w:t>
            </w:r>
            <w:r>
              <w:rPr>
                <w:rFonts w:hint="eastAsia" w:ascii="仿宋" w:hAnsi="仿宋" w:eastAsia="仿宋"/>
                <w:color w:val="000000"/>
                <w:spacing w:val="13"/>
              </w:rPr>
              <w:t>賬户幣種</w:t>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Handling charges</w:t>
            </w:r>
            <w:r>
              <w:rPr>
                <w:rFonts w:hint="eastAsia"/>
                <w:color w:val="000000"/>
                <w:spacing w:val="16"/>
              </w:rPr>
              <w:t xml:space="preserve"> </w:t>
            </w:r>
            <w:r>
              <w:rPr>
                <w:rFonts w:hint="eastAsia" w:ascii="仿宋" w:hAnsi="仿宋" w:eastAsia="仿宋"/>
                <w:color w:val="000000"/>
                <w:spacing w:val="13"/>
              </w:rPr>
              <w:t>手續費</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2424" w:type="dxa"/>
            <w:gridSpan w:val="3"/>
            <w:vMerge w:val="continue"/>
            <w:tcBorders>
              <w:left w:val="single" w:color="auto" w:sz="4" w:space="0"/>
              <w:right w:val="single" w:color="auto" w:sz="4" w:space="0"/>
            </w:tcBorders>
          </w:tcPr>
          <w:p>
            <w:pPr>
              <w:spacing w:after="0" w:line="240" w:lineRule="auto"/>
              <w:rPr>
                <w:color w:val="000000"/>
                <w:spacing w:val="16"/>
              </w:rPr>
            </w:pPr>
          </w:p>
        </w:tc>
        <w:tc>
          <w:tcPr>
            <w:tcW w:w="236" w:type="dxa"/>
            <w:gridSpan w:val="2"/>
            <w:tcBorders>
              <w:top w:val="nil"/>
              <w:left w:val="single" w:color="auto" w:sz="4" w:space="0"/>
              <w:bottom w:val="nil"/>
              <w:right w:val="nil"/>
            </w:tcBorders>
            <w:vAlign w:val="center"/>
          </w:tcPr>
          <w:p>
            <w:pPr>
              <w:spacing w:after="0" w:line="240" w:lineRule="auto"/>
              <w:rPr>
                <w:color w:val="000000"/>
                <w:spacing w:val="16"/>
              </w:rPr>
            </w:pPr>
          </w:p>
        </w:tc>
        <w:tc>
          <w:tcPr>
            <w:tcW w:w="2585" w:type="dxa"/>
            <w:gridSpan w:val="5"/>
            <w:tcBorders>
              <w:top w:val="nil"/>
              <w:left w:val="nil"/>
              <w:bottom w:val="single" w:color="auto" w:sz="4" w:space="0"/>
              <w:right w:val="nil"/>
            </w:tcBorders>
            <w:vAlign w:val="center"/>
          </w:tcPr>
          <w:p>
            <w:pPr>
              <w:spacing w:after="0" w:line="240" w:lineRule="auto"/>
              <w:rPr>
                <w:color w:val="000000"/>
                <w:spacing w:val="16"/>
              </w:rPr>
            </w:pPr>
            <w:bookmarkStart w:id="2" w:name="Text2"/>
            <w:r>
              <w:rPr>
                <w:color w:val="000000"/>
                <w:spacing w:val="16"/>
              </w:rPr>
              <w:fldChar w:fldCharType="begin">
                <w:ffData>
                  <w:name w:val="Text2"/>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bookmarkEnd w:id="2"/>
          </w:p>
        </w:tc>
        <w:tc>
          <w:tcPr>
            <w:tcW w:w="284" w:type="dxa"/>
            <w:vMerge w:val="restart"/>
            <w:tcBorders>
              <w:top w:val="nil"/>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bottom w:val="nil"/>
              <w:right w:val="nil"/>
            </w:tcBorders>
            <w:vAlign w:val="center"/>
          </w:tcPr>
          <w:p>
            <w:pPr>
              <w:spacing w:after="0" w:line="240" w:lineRule="auto"/>
              <w:rPr>
                <w:color w:val="000000"/>
                <w:spacing w:val="16"/>
              </w:rPr>
            </w:pPr>
          </w:p>
        </w:tc>
        <w:tc>
          <w:tcPr>
            <w:tcW w:w="1418" w:type="dxa"/>
            <w:gridSpan w:val="3"/>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3" w:type="dxa"/>
            <w:tcBorders>
              <w:top w:val="nil"/>
              <w:left w:val="nil"/>
              <w:bottom w:val="nil"/>
              <w:right w:val="single" w:color="auto" w:sz="12" w:space="0"/>
            </w:tcBorders>
            <w:vAlign w:val="center"/>
          </w:tcPr>
          <w:p>
            <w:pPr>
              <w:spacing w:after="0" w:line="240" w:lineRule="auto"/>
              <w:rPr>
                <w:color w:val="000000"/>
                <w:spacing w:val="16"/>
              </w:rPr>
            </w:pPr>
          </w:p>
        </w:tc>
        <w:tc>
          <w:tcPr>
            <w:tcW w:w="2693" w:type="dxa"/>
            <w:gridSpan w:val="6"/>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3"/>
              </w:rPr>
            </w:pPr>
            <w:r>
              <w:rPr>
                <w:rFonts w:hint="eastAsia"/>
                <w:color w:val="000000"/>
                <w:spacing w:val="3"/>
              </w:rPr>
              <w:t xml:space="preserve">Chinese character handling charges </w:t>
            </w:r>
          </w:p>
          <w:p>
            <w:pPr>
              <w:spacing w:after="0" w:line="240" w:lineRule="auto"/>
              <w:rPr>
                <w:color w:val="000000"/>
                <w:spacing w:val="16"/>
              </w:rPr>
            </w:pPr>
            <w:r>
              <w:rPr>
                <w:rFonts w:hint="eastAsia" w:ascii="仿宋" w:hAnsi="仿宋" w:eastAsia="仿宋"/>
                <w:color w:val="000000"/>
                <w:spacing w:val="13"/>
              </w:rPr>
              <w:t>中文字手續費</w:t>
            </w:r>
          </w:p>
        </w:tc>
        <w:tc>
          <w:tcPr>
            <w:tcW w:w="1276"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424" w:type="dxa"/>
            <w:gridSpan w:val="3"/>
            <w:vMerge w:val="continue"/>
            <w:tcBorders>
              <w:left w:val="single" w:color="auto" w:sz="4" w:space="0"/>
              <w:right w:val="single" w:color="auto" w:sz="4" w:space="0"/>
            </w:tcBorders>
            <w:vAlign w:val="center"/>
          </w:tcPr>
          <w:p>
            <w:pPr>
              <w:spacing w:after="0" w:line="240" w:lineRule="auto"/>
              <w:rPr>
                <w:rFonts w:ascii="仿宋" w:hAnsi="仿宋" w:eastAsia="仿宋"/>
                <w:color w:val="000000"/>
                <w:spacing w:val="13"/>
              </w:rPr>
            </w:pPr>
          </w:p>
        </w:tc>
        <w:tc>
          <w:tcPr>
            <w:tcW w:w="236" w:type="dxa"/>
            <w:gridSpan w:val="2"/>
            <w:tcBorders>
              <w:top w:val="nil"/>
              <w:left w:val="single" w:color="auto" w:sz="4" w:space="0"/>
              <w:right w:val="nil"/>
            </w:tcBorders>
            <w:vAlign w:val="center"/>
          </w:tcPr>
          <w:p>
            <w:pPr>
              <w:spacing w:after="0" w:line="240" w:lineRule="auto"/>
              <w:rPr>
                <w:color w:val="000000"/>
                <w:spacing w:val="16"/>
              </w:rPr>
            </w:pPr>
          </w:p>
        </w:tc>
        <w:tc>
          <w:tcPr>
            <w:tcW w:w="2585" w:type="dxa"/>
            <w:gridSpan w:val="5"/>
            <w:tcBorders>
              <w:top w:val="single" w:color="auto" w:sz="4" w:space="0"/>
              <w:left w:val="nil"/>
              <w:bottom w:val="single" w:color="auto" w:sz="4" w:space="0"/>
              <w:right w:val="nil"/>
            </w:tcBorders>
            <w:vAlign w:val="center"/>
          </w:tcPr>
          <w:p>
            <w:pPr>
              <w:spacing w:after="0" w:line="240" w:lineRule="auto"/>
              <w:rPr>
                <w:color w:val="000000"/>
                <w:spacing w:val="16"/>
              </w:rPr>
            </w:pPr>
          </w:p>
        </w:tc>
        <w:tc>
          <w:tcPr>
            <w:tcW w:w="284" w:type="dxa"/>
            <w:vMerge w:val="continue"/>
            <w:tcBorders>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right w:val="nil"/>
            </w:tcBorders>
            <w:vAlign w:val="center"/>
          </w:tcPr>
          <w:p>
            <w:pPr>
              <w:spacing w:after="0" w:line="240" w:lineRule="auto"/>
              <w:rPr>
                <w:color w:val="000000"/>
                <w:spacing w:val="16"/>
              </w:rPr>
            </w:pPr>
          </w:p>
        </w:tc>
        <w:tc>
          <w:tcPr>
            <w:tcW w:w="1418" w:type="dxa"/>
            <w:gridSpan w:val="3"/>
            <w:tcBorders>
              <w:top w:val="single" w:color="auto" w:sz="4" w:space="0"/>
              <w:left w:val="nil"/>
              <w:right w:val="nil"/>
            </w:tcBorders>
            <w:vAlign w:val="center"/>
          </w:tcPr>
          <w:p>
            <w:pPr>
              <w:spacing w:after="0" w:line="240" w:lineRule="auto"/>
              <w:rPr>
                <w:color w:val="000000"/>
                <w:spacing w:val="16"/>
              </w:rPr>
            </w:pPr>
          </w:p>
        </w:tc>
        <w:tc>
          <w:tcPr>
            <w:tcW w:w="283" w:type="dxa"/>
            <w:tcBorders>
              <w:top w:val="nil"/>
              <w:left w:val="nil"/>
              <w:right w:val="single" w:color="auto" w:sz="12" w:space="0"/>
            </w:tcBorders>
            <w:vAlign w:val="center"/>
          </w:tcPr>
          <w:p>
            <w:pPr>
              <w:spacing w:after="0" w:line="240" w:lineRule="auto"/>
              <w:rPr>
                <w:color w:val="000000"/>
                <w:spacing w:val="16"/>
              </w:rPr>
            </w:pPr>
          </w:p>
        </w:tc>
        <w:tc>
          <w:tcPr>
            <w:tcW w:w="2693" w:type="dxa"/>
            <w:gridSpan w:val="6"/>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c>
          <w:tcPr>
            <w:tcW w:w="1276" w:type="dxa"/>
            <w:gridSpan w:val="2"/>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trPr>
        <w:tc>
          <w:tcPr>
            <w:tcW w:w="2424" w:type="dxa"/>
            <w:gridSpan w:val="3"/>
            <w:vMerge w:val="restart"/>
            <w:tcBorders>
              <w:left w:val="single" w:color="auto" w:sz="4" w:space="0"/>
              <w:right w:val="single" w:color="auto" w:sz="4" w:space="0"/>
            </w:tcBorders>
            <w:vAlign w:val="center"/>
          </w:tcPr>
          <w:p>
            <w:pPr>
              <w:spacing w:after="0" w:line="240" w:lineRule="auto"/>
              <w:rPr>
                <w:color w:val="000000"/>
                <w:spacing w:val="16"/>
              </w:rPr>
            </w:pPr>
            <w:r>
              <w:rPr>
                <w:rFonts w:hint="eastAsia"/>
                <w:color w:val="000000"/>
                <w:spacing w:val="3"/>
              </w:rPr>
              <w:t>Charges Debit A/C No</w:t>
            </w:r>
            <w:r>
              <w:rPr>
                <w:rFonts w:hint="eastAsia"/>
                <w:color w:val="000000"/>
                <w:spacing w:val="16"/>
              </w:rPr>
              <w:t xml:space="preserve">. </w:t>
            </w:r>
          </w:p>
          <w:p>
            <w:pPr>
              <w:spacing w:after="0" w:line="240" w:lineRule="auto"/>
              <w:rPr>
                <w:color w:val="000000"/>
                <w:spacing w:val="16"/>
              </w:rPr>
            </w:pPr>
            <w:r>
              <w:rPr>
                <w:rFonts w:hint="eastAsia" w:ascii="仿宋" w:hAnsi="仿宋" w:eastAsia="仿宋"/>
                <w:color w:val="000000"/>
                <w:spacing w:val="13"/>
              </w:rPr>
              <w:t>支付匯款費用之賬户號碼</w:t>
            </w:r>
          </w:p>
        </w:tc>
        <w:tc>
          <w:tcPr>
            <w:tcW w:w="3105" w:type="dxa"/>
            <w:gridSpan w:val="8"/>
            <w:tcBorders>
              <w:top w:val="nil"/>
              <w:left w:val="single" w:color="auto" w:sz="4" w:space="0"/>
              <w:bottom w:val="nil"/>
              <w:right w:val="single" w:color="auto" w:sz="4" w:space="0"/>
            </w:tcBorders>
            <w:vAlign w:val="center"/>
          </w:tcPr>
          <w:p>
            <w:pPr>
              <w:spacing w:after="0" w:line="240" w:lineRule="auto"/>
              <w:rPr>
                <w:color w:val="000000"/>
                <w:spacing w:val="16"/>
              </w:rPr>
            </w:pPr>
            <w:r>
              <w:rPr>
                <w:rFonts w:hint="eastAsia" w:eastAsia="宋体"/>
                <w:color w:val="000000"/>
                <w:spacing w:val="16"/>
              </w:rPr>
              <w:t xml:space="preserve">   </w:t>
            </w:r>
            <w:r>
              <w:rPr>
                <w:rFonts w:hint="eastAsia"/>
                <w:color w:val="000000"/>
                <w:spacing w:val="16"/>
              </w:rPr>
              <w:t xml:space="preserve">A/C No. </w:t>
            </w:r>
            <w:r>
              <w:rPr>
                <w:rFonts w:hint="eastAsia" w:ascii="仿宋" w:hAnsi="仿宋" w:eastAsia="仿宋"/>
                <w:color w:val="000000"/>
                <w:spacing w:val="13"/>
              </w:rPr>
              <w:t>賬户號碼</w:t>
            </w:r>
          </w:p>
        </w:tc>
        <w:tc>
          <w:tcPr>
            <w:tcW w:w="1984" w:type="dxa"/>
            <w:gridSpan w:val="5"/>
            <w:tcBorders>
              <w:left w:val="single" w:color="auto" w:sz="4" w:space="0"/>
              <w:bottom w:val="nil"/>
              <w:right w:val="single" w:color="auto" w:sz="12" w:space="0"/>
            </w:tcBorders>
            <w:vAlign w:val="center"/>
          </w:tcPr>
          <w:p>
            <w:pPr>
              <w:spacing w:after="0" w:line="240" w:lineRule="auto"/>
              <w:rPr>
                <w:color w:val="000000"/>
                <w:spacing w:val="16"/>
              </w:rPr>
            </w:pPr>
            <w:r>
              <w:rPr>
                <w:color w:val="000000"/>
                <w:spacing w:val="16"/>
              </w:rPr>
              <w:t xml:space="preserve">A/C </w:t>
            </w:r>
            <w:r>
              <w:rPr>
                <w:rFonts w:cs="Times New Roman"/>
                <w:color w:val="000000"/>
                <w:spacing w:val="4"/>
              </w:rPr>
              <w:t>Currency</w:t>
            </w:r>
            <w:r>
              <w:rPr>
                <w:rFonts w:hint="eastAsia" w:ascii="仿宋" w:hAnsi="仿宋" w:eastAsia="仿宋"/>
                <w:color w:val="000000"/>
                <w:spacing w:val="13"/>
              </w:rPr>
              <w:t>賬户幣種</w:t>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Agent bank(s) charges</w:t>
            </w:r>
            <w:r>
              <w:rPr>
                <w:rFonts w:hint="eastAsia"/>
                <w:color w:val="000000"/>
                <w:spacing w:val="16"/>
              </w:rPr>
              <w:t xml:space="preserve"> </w:t>
            </w:r>
            <w:r>
              <w:rPr>
                <w:rFonts w:hint="eastAsia" w:ascii="仿宋" w:hAnsi="仿宋" w:eastAsia="仿宋"/>
                <w:color w:val="000000"/>
                <w:spacing w:val="13"/>
              </w:rPr>
              <w:t>代理行費用</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trPr>
        <w:tc>
          <w:tcPr>
            <w:tcW w:w="2424" w:type="dxa"/>
            <w:gridSpan w:val="3"/>
            <w:vMerge w:val="continue"/>
            <w:tcBorders>
              <w:left w:val="single" w:color="auto" w:sz="4" w:space="0"/>
              <w:right w:val="single" w:color="auto" w:sz="4" w:space="0"/>
            </w:tcBorders>
          </w:tcPr>
          <w:p>
            <w:pPr>
              <w:spacing w:after="0" w:line="240" w:lineRule="auto"/>
              <w:rPr>
                <w:color w:val="000000"/>
                <w:spacing w:val="16"/>
              </w:rPr>
            </w:pPr>
          </w:p>
        </w:tc>
        <w:tc>
          <w:tcPr>
            <w:tcW w:w="236" w:type="dxa"/>
            <w:gridSpan w:val="2"/>
            <w:tcBorders>
              <w:top w:val="nil"/>
              <w:left w:val="single" w:color="auto" w:sz="4" w:space="0"/>
              <w:bottom w:val="nil"/>
              <w:right w:val="nil"/>
            </w:tcBorders>
            <w:vAlign w:val="center"/>
          </w:tcPr>
          <w:p>
            <w:pPr>
              <w:spacing w:after="0" w:line="240" w:lineRule="auto"/>
              <w:rPr>
                <w:color w:val="000000"/>
                <w:spacing w:val="16"/>
              </w:rPr>
            </w:pPr>
          </w:p>
        </w:tc>
        <w:tc>
          <w:tcPr>
            <w:tcW w:w="2585" w:type="dxa"/>
            <w:gridSpan w:val="5"/>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name w:val="Text2"/>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4" w:type="dxa"/>
            <w:vMerge w:val="restart"/>
            <w:tcBorders>
              <w:top w:val="nil"/>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bottom w:val="nil"/>
              <w:right w:val="nil"/>
            </w:tcBorders>
            <w:vAlign w:val="center"/>
          </w:tcPr>
          <w:p>
            <w:pPr>
              <w:spacing w:after="0" w:line="240" w:lineRule="auto"/>
              <w:rPr>
                <w:color w:val="000000"/>
                <w:spacing w:val="16"/>
              </w:rPr>
            </w:pPr>
          </w:p>
        </w:tc>
        <w:tc>
          <w:tcPr>
            <w:tcW w:w="1418" w:type="dxa"/>
            <w:gridSpan w:val="3"/>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3" w:type="dxa"/>
            <w:tcBorders>
              <w:top w:val="nil"/>
              <w:left w:val="nil"/>
              <w:bottom w:val="nil"/>
              <w:right w:val="single" w:color="auto" w:sz="12" w:space="0"/>
            </w:tcBorders>
            <w:vAlign w:val="center"/>
          </w:tcPr>
          <w:p>
            <w:pPr>
              <w:spacing w:after="0" w:line="240" w:lineRule="auto"/>
              <w:rPr>
                <w:color w:val="000000"/>
                <w:spacing w:val="16"/>
              </w:rPr>
            </w:pPr>
          </w:p>
        </w:tc>
        <w:tc>
          <w:tcPr>
            <w:tcW w:w="2693" w:type="dxa"/>
            <w:gridSpan w:val="6"/>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 xml:space="preserve">Total </w:t>
            </w:r>
            <w:r>
              <w:rPr>
                <w:rFonts w:hint="eastAsia" w:ascii="仿宋" w:hAnsi="仿宋" w:eastAsia="仿宋"/>
                <w:color w:val="000000"/>
                <w:spacing w:val="13"/>
              </w:rPr>
              <w:t>總額</w:t>
            </w:r>
          </w:p>
        </w:tc>
        <w:tc>
          <w:tcPr>
            <w:tcW w:w="1276"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424" w:type="dxa"/>
            <w:gridSpan w:val="3"/>
            <w:vMerge w:val="continue"/>
            <w:tcBorders>
              <w:left w:val="single" w:color="auto" w:sz="4" w:space="0"/>
              <w:right w:val="single" w:color="auto" w:sz="4" w:space="0"/>
            </w:tcBorders>
            <w:vAlign w:val="center"/>
          </w:tcPr>
          <w:p>
            <w:pPr>
              <w:spacing w:after="0" w:line="240" w:lineRule="auto"/>
              <w:rPr>
                <w:rFonts w:ascii="仿宋" w:hAnsi="仿宋" w:eastAsia="仿宋"/>
                <w:color w:val="000000"/>
                <w:spacing w:val="13"/>
              </w:rPr>
            </w:pPr>
          </w:p>
        </w:tc>
        <w:tc>
          <w:tcPr>
            <w:tcW w:w="236" w:type="dxa"/>
            <w:gridSpan w:val="2"/>
            <w:tcBorders>
              <w:top w:val="nil"/>
              <w:left w:val="single" w:color="auto" w:sz="4" w:space="0"/>
              <w:right w:val="nil"/>
            </w:tcBorders>
            <w:vAlign w:val="center"/>
          </w:tcPr>
          <w:p>
            <w:pPr>
              <w:spacing w:after="0" w:line="240" w:lineRule="auto"/>
              <w:rPr>
                <w:color w:val="000000"/>
                <w:spacing w:val="16"/>
              </w:rPr>
            </w:pPr>
          </w:p>
        </w:tc>
        <w:tc>
          <w:tcPr>
            <w:tcW w:w="2585" w:type="dxa"/>
            <w:gridSpan w:val="5"/>
            <w:tcBorders>
              <w:top w:val="single" w:color="auto" w:sz="4" w:space="0"/>
              <w:left w:val="nil"/>
              <w:bottom w:val="single" w:color="auto" w:sz="4" w:space="0"/>
              <w:right w:val="nil"/>
            </w:tcBorders>
            <w:vAlign w:val="center"/>
          </w:tcPr>
          <w:p>
            <w:pPr>
              <w:spacing w:after="0" w:line="240" w:lineRule="auto"/>
              <w:rPr>
                <w:color w:val="000000"/>
                <w:spacing w:val="16"/>
              </w:rPr>
            </w:pPr>
          </w:p>
        </w:tc>
        <w:tc>
          <w:tcPr>
            <w:tcW w:w="284" w:type="dxa"/>
            <w:vMerge w:val="continue"/>
            <w:tcBorders>
              <w:left w:val="nil"/>
              <w:bottom w:val="single" w:color="auto" w:sz="4" w:space="0"/>
              <w:right w:val="single" w:color="auto" w:sz="4" w:space="0"/>
            </w:tcBorders>
            <w:vAlign w:val="center"/>
          </w:tcPr>
          <w:p>
            <w:pPr>
              <w:spacing w:after="0" w:line="240" w:lineRule="auto"/>
              <w:rPr>
                <w:color w:val="000000"/>
                <w:spacing w:val="16"/>
              </w:rPr>
            </w:pPr>
          </w:p>
        </w:tc>
        <w:tc>
          <w:tcPr>
            <w:tcW w:w="283" w:type="dxa"/>
            <w:tcBorders>
              <w:top w:val="nil"/>
              <w:left w:val="single" w:color="auto" w:sz="4" w:space="0"/>
              <w:right w:val="nil"/>
            </w:tcBorders>
            <w:vAlign w:val="center"/>
          </w:tcPr>
          <w:p>
            <w:pPr>
              <w:spacing w:after="0" w:line="240" w:lineRule="auto"/>
              <w:rPr>
                <w:color w:val="000000"/>
                <w:spacing w:val="16"/>
              </w:rPr>
            </w:pPr>
          </w:p>
        </w:tc>
        <w:tc>
          <w:tcPr>
            <w:tcW w:w="1418" w:type="dxa"/>
            <w:gridSpan w:val="3"/>
            <w:tcBorders>
              <w:top w:val="single" w:color="auto" w:sz="4" w:space="0"/>
              <w:left w:val="nil"/>
              <w:right w:val="nil"/>
            </w:tcBorders>
            <w:vAlign w:val="center"/>
          </w:tcPr>
          <w:p>
            <w:pPr>
              <w:spacing w:after="0" w:line="240" w:lineRule="auto"/>
              <w:rPr>
                <w:color w:val="000000"/>
                <w:spacing w:val="16"/>
              </w:rPr>
            </w:pPr>
          </w:p>
        </w:tc>
        <w:tc>
          <w:tcPr>
            <w:tcW w:w="283" w:type="dxa"/>
            <w:tcBorders>
              <w:top w:val="nil"/>
              <w:left w:val="nil"/>
              <w:right w:val="single" w:color="auto" w:sz="12" w:space="0"/>
            </w:tcBorders>
            <w:vAlign w:val="center"/>
          </w:tcPr>
          <w:p>
            <w:pPr>
              <w:spacing w:after="0" w:line="240" w:lineRule="auto"/>
              <w:rPr>
                <w:color w:val="000000"/>
                <w:spacing w:val="16"/>
              </w:rPr>
            </w:pPr>
          </w:p>
        </w:tc>
        <w:tc>
          <w:tcPr>
            <w:tcW w:w="2693" w:type="dxa"/>
            <w:gridSpan w:val="6"/>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c>
          <w:tcPr>
            <w:tcW w:w="1276" w:type="dxa"/>
            <w:gridSpan w:val="2"/>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7"/>
          <w:wAfter w:w="3955" w:type="dxa"/>
          <w:trHeight w:val="316" w:hRule="exact"/>
        </w:trPr>
        <w:tc>
          <w:tcPr>
            <w:tcW w:w="3969" w:type="dxa"/>
            <w:gridSpan w:val="7"/>
            <w:tcBorders>
              <w:top w:val="nil"/>
              <w:left w:val="single" w:color="auto" w:sz="4" w:space="0"/>
            </w:tcBorders>
            <w:vAlign w:val="center"/>
          </w:tcPr>
          <w:p>
            <w:pPr>
              <w:spacing w:after="0" w:line="240" w:lineRule="auto"/>
              <w:rPr>
                <w:color w:val="000000"/>
                <w:spacing w:val="16"/>
              </w:rPr>
            </w:pPr>
            <w:r>
              <w:rPr>
                <w:rFonts w:hint="eastAsia"/>
                <w:color w:val="000000"/>
                <w:spacing w:val="3"/>
              </w:rPr>
              <w:t>32A  Value Date (if any)</w:t>
            </w:r>
            <w:r>
              <w:rPr>
                <w:rFonts w:hint="eastAsia"/>
                <w:color w:val="000000"/>
                <w:spacing w:val="16"/>
              </w:rPr>
              <w:t xml:space="preserve"> </w:t>
            </w:r>
            <w:r>
              <w:rPr>
                <w:rFonts w:hint="eastAsia" w:ascii="仿宋" w:hAnsi="仿宋" w:eastAsia="仿宋"/>
                <w:color w:val="000000"/>
                <w:spacing w:val="13"/>
              </w:rPr>
              <w:t>匯款付款日</w:t>
            </w:r>
            <w:r>
              <w:rPr>
                <w:rFonts w:hint="eastAsia" w:ascii="仿宋" w:hAnsi="仿宋"/>
                <w:color w:val="000000"/>
                <w:spacing w:val="13"/>
              </w:rPr>
              <w:t>(</w:t>
            </w:r>
            <w:r>
              <w:rPr>
                <w:rFonts w:hint="eastAsia" w:ascii="仿宋" w:hAnsi="仿宋" w:eastAsia="仿宋"/>
                <w:color w:val="000000"/>
                <w:spacing w:val="13"/>
              </w:rPr>
              <w:t>如適用</w:t>
            </w:r>
            <w:r>
              <w:rPr>
                <w:rFonts w:hint="eastAsia" w:ascii="仿宋" w:hAnsi="仿宋"/>
                <w:color w:val="000000"/>
                <w:spacing w:val="13"/>
              </w:rPr>
              <w:t>)</w:t>
            </w:r>
          </w:p>
        </w:tc>
        <w:tc>
          <w:tcPr>
            <w:tcW w:w="3558" w:type="dxa"/>
            <w:gridSpan w:val="10"/>
            <w:tcBorders>
              <w:top w:val="nil"/>
              <w:bottom w:val="single" w:color="auto" w:sz="4" w:space="0"/>
            </w:tcBorders>
            <w:vAlign w:val="center"/>
          </w:tcPr>
          <w:p>
            <w:pPr>
              <w:spacing w:after="0" w:line="240" w:lineRule="auto"/>
              <w:rPr>
                <w:color w:val="000000"/>
                <w:spacing w:val="16"/>
              </w:rPr>
            </w:pPr>
            <w:r>
              <w:rPr>
                <w:color w:val="000000"/>
                <w:spacing w:val="16"/>
              </w:rPr>
              <w:fldChar w:fldCharType="begin">
                <w:ffData>
                  <w:name w:val="Text3"/>
                  <w:enabled/>
                  <w:calcOnExit w:val="0"/>
                  <w:textInput/>
                </w:ffData>
              </w:fldChar>
            </w:r>
            <w:bookmarkStart w:id="3" w:name="Text3"/>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56A </w:t>
            </w:r>
            <w:r>
              <w:rPr>
                <w:rFonts w:hint="eastAsia"/>
                <w:color w:val="000000"/>
                <w:spacing w:val="3"/>
                <w:szCs w:val="16"/>
              </w:rPr>
              <w:t>Intermediary Bank (if any)</w:t>
            </w:r>
          </w:p>
          <w:p>
            <w:pPr>
              <w:spacing w:after="0" w:line="240" w:lineRule="auto"/>
              <w:rPr>
                <w:color w:val="000000"/>
                <w:spacing w:val="16"/>
              </w:rPr>
            </w:pPr>
            <w:r>
              <w:rPr>
                <w:rFonts w:hint="eastAsia"/>
                <w:color w:val="000000"/>
                <w:spacing w:val="16"/>
              </w:rPr>
              <w:t xml:space="preserve">      </w:t>
            </w:r>
            <w:r>
              <w:rPr>
                <w:rFonts w:hint="eastAsia" w:ascii="仿宋" w:hAnsi="仿宋" w:eastAsia="仿宋"/>
                <w:color w:val="000000"/>
                <w:spacing w:val="13"/>
              </w:rPr>
              <w:t>中轉銀行 (如適用)</w:t>
            </w: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 xml:space="preserve">Name </w:t>
            </w:r>
            <w:r>
              <w:rPr>
                <w:rFonts w:hint="eastAsia" w:ascii="仿宋" w:hAnsi="仿宋" w:eastAsia="仿宋"/>
                <w:color w:val="000000"/>
                <w:spacing w:val="13"/>
              </w:rPr>
              <w:t>名稱</w:t>
            </w:r>
          </w:p>
        </w:tc>
        <w:tc>
          <w:tcPr>
            <w:tcW w:w="7513" w:type="dxa"/>
            <w:gridSpan w:val="17"/>
            <w:tcBorders>
              <w:left w:val="single" w:color="auto" w:sz="4" w:space="0"/>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Address</w:t>
            </w:r>
            <w:r>
              <w:rPr>
                <w:rFonts w:hint="eastAsia"/>
                <w:color w:val="000000"/>
                <w:spacing w:val="16"/>
              </w:rPr>
              <w:t xml:space="preserve"> </w:t>
            </w:r>
            <w:r>
              <w:rPr>
                <w:rFonts w:hint="eastAsia" w:ascii="仿宋" w:hAnsi="仿宋" w:eastAsia="仿宋"/>
                <w:color w:val="000000"/>
                <w:spacing w:val="13"/>
              </w:rPr>
              <w:t>地址</w:t>
            </w:r>
          </w:p>
        </w:tc>
        <w:tc>
          <w:tcPr>
            <w:tcW w:w="7513" w:type="dxa"/>
            <w:gridSpan w:val="17"/>
            <w:tcBorders>
              <w:left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Country</w:t>
            </w:r>
            <w:r>
              <w:rPr>
                <w:rFonts w:hint="eastAsia"/>
                <w:color w:val="000000"/>
                <w:spacing w:val="16"/>
              </w:rPr>
              <w:t xml:space="preserve"> </w:t>
            </w:r>
            <w:r>
              <w:rPr>
                <w:rFonts w:hint="eastAsia" w:ascii="仿宋" w:hAnsi="仿宋" w:eastAsia="仿宋"/>
                <w:color w:val="000000"/>
                <w:spacing w:val="13"/>
              </w:rPr>
              <w:t>國家</w:t>
            </w:r>
          </w:p>
        </w:tc>
        <w:tc>
          <w:tcPr>
            <w:tcW w:w="2977" w:type="dxa"/>
            <w:gridSpan w:val="6"/>
            <w:tcBorders>
              <w:left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34" w:type="dxa"/>
            <w:gridSpan w:val="6"/>
            <w:tcBorders>
              <w:right w:val="nil"/>
            </w:tcBorders>
            <w:vAlign w:val="center"/>
          </w:tcPr>
          <w:p>
            <w:pPr>
              <w:spacing w:after="0" w:line="240" w:lineRule="auto"/>
              <w:rPr>
                <w:color w:val="000000"/>
                <w:spacing w:val="16"/>
              </w:rPr>
            </w:pPr>
            <w:r>
              <w:rPr>
                <w:rFonts w:hint="eastAsia"/>
                <w:color w:val="000000"/>
                <w:spacing w:val="3"/>
              </w:rPr>
              <w:t xml:space="preserve">Code </w:t>
            </w:r>
            <w:r>
              <w:rPr>
                <w:rFonts w:hint="eastAsia" w:ascii="仿宋" w:hAnsi="仿宋" w:eastAsia="仿宋"/>
                <w:color w:val="000000"/>
                <w:spacing w:val="13"/>
              </w:rPr>
              <w:t>代碼</w:t>
            </w:r>
          </w:p>
        </w:tc>
        <w:tc>
          <w:tcPr>
            <w:tcW w:w="3402" w:type="dxa"/>
            <w:gridSpan w:val="5"/>
            <w:tcBorders>
              <w:left w:val="nil"/>
            </w:tcBorders>
            <w:vAlign w:val="center"/>
          </w:tcPr>
          <w:p>
            <w:pPr>
              <w:spacing w:after="0" w:line="240" w:lineRule="auto"/>
              <w:rPr>
                <w:color w:val="000000"/>
                <w:spacing w:val="16"/>
              </w:rPr>
            </w:pPr>
            <w:r>
              <w:rPr>
                <w:color w:val="000000"/>
                <w:spacing w:val="16"/>
              </w:rPr>
              <w:fldChar w:fldCharType="begin">
                <w:ffData>
                  <w:enabled/>
                  <w:calcOnExit w:val="0"/>
                  <w:textInput>
                    <w:maxLength w:val="18"/>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57   </w:t>
            </w:r>
            <w:r>
              <w:rPr>
                <w:color w:val="000000"/>
                <w:spacing w:val="3"/>
              </w:rPr>
              <w:t xml:space="preserve"> Beneficiary’s</w:t>
            </w:r>
            <w:r>
              <w:rPr>
                <w:rFonts w:hint="eastAsia"/>
                <w:color w:val="000000"/>
                <w:spacing w:val="3"/>
              </w:rPr>
              <w:t xml:space="preserve"> Bank</w:t>
            </w:r>
          </w:p>
          <w:p>
            <w:pPr>
              <w:tabs>
                <w:tab w:val="left" w:pos="360"/>
              </w:tabs>
              <w:spacing w:after="0" w:line="240" w:lineRule="auto"/>
              <w:rPr>
                <w:color w:val="000000"/>
                <w:spacing w:val="16"/>
              </w:rPr>
            </w:pPr>
            <w:r>
              <w:rPr>
                <w:rFonts w:hint="eastAsia"/>
                <w:color w:val="000000"/>
                <w:spacing w:val="16"/>
              </w:rPr>
              <w:t xml:space="preserve">     </w:t>
            </w:r>
            <w:r>
              <w:rPr>
                <w:color w:val="000000"/>
                <w:spacing w:val="16"/>
              </w:rPr>
              <w:t xml:space="preserve"> </w:t>
            </w:r>
            <w:r>
              <w:rPr>
                <w:rFonts w:hint="eastAsia" w:ascii="仿宋" w:hAnsi="仿宋" w:eastAsia="仿宋"/>
                <w:color w:val="000000"/>
                <w:spacing w:val="13"/>
              </w:rPr>
              <w:t>收款銀行</w:t>
            </w:r>
          </w:p>
        </w:tc>
        <w:tc>
          <w:tcPr>
            <w:tcW w:w="1545" w:type="dxa"/>
            <w:gridSpan w:val="4"/>
            <w:vAlign w:val="center"/>
          </w:tcPr>
          <w:p>
            <w:pPr>
              <w:spacing w:after="0" w:line="240" w:lineRule="auto"/>
              <w:rPr>
                <w:color w:val="000000"/>
                <w:spacing w:val="16"/>
              </w:rPr>
            </w:pPr>
            <w:r>
              <w:rPr>
                <w:rFonts w:hint="eastAsia" w:cs="Times New Roman"/>
                <w:color w:val="000000"/>
                <w:spacing w:val="4"/>
              </w:rPr>
              <w:t xml:space="preserve">Name </w:t>
            </w:r>
            <w:r>
              <w:rPr>
                <w:rFonts w:hint="eastAsia" w:ascii="仿宋" w:hAnsi="仿宋" w:eastAsia="仿宋"/>
                <w:color w:val="000000"/>
                <w:spacing w:val="13"/>
              </w:rPr>
              <w:t>名稱</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vAlign w:val="center"/>
          </w:tcPr>
          <w:p>
            <w:pPr>
              <w:spacing w:after="0" w:line="240" w:lineRule="auto"/>
              <w:rPr>
                <w:color w:val="000000"/>
                <w:spacing w:val="16"/>
              </w:rPr>
            </w:pPr>
            <w:r>
              <w:rPr>
                <w:rFonts w:hint="eastAsia" w:cs="Times New Roman"/>
                <w:color w:val="000000"/>
                <w:spacing w:val="4"/>
              </w:rPr>
              <w:t>Address</w:t>
            </w:r>
            <w:r>
              <w:rPr>
                <w:rFonts w:hint="eastAsia"/>
                <w:color w:val="000000"/>
                <w:spacing w:val="16"/>
              </w:rPr>
              <w:t xml:space="preserve"> </w:t>
            </w:r>
            <w:r>
              <w:rPr>
                <w:rFonts w:hint="eastAsia" w:ascii="仿宋" w:hAnsi="仿宋" w:eastAsia="仿宋"/>
                <w:color w:val="000000"/>
                <w:spacing w:val="13"/>
              </w:rPr>
              <w:t>地址</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bottom w:val="single" w:color="auto" w:sz="4" w:space="0"/>
            </w:tcBorders>
            <w:vAlign w:val="center"/>
          </w:tcPr>
          <w:p>
            <w:pPr>
              <w:spacing w:after="0" w:line="240" w:lineRule="auto"/>
              <w:rPr>
                <w:color w:val="000000"/>
                <w:spacing w:val="16"/>
              </w:rPr>
            </w:pPr>
          </w:p>
        </w:tc>
        <w:tc>
          <w:tcPr>
            <w:tcW w:w="1545" w:type="dxa"/>
            <w:gridSpan w:val="4"/>
            <w:tcBorders>
              <w:bottom w:val="single" w:color="auto" w:sz="4" w:space="0"/>
            </w:tcBorders>
            <w:vAlign w:val="center"/>
          </w:tcPr>
          <w:p>
            <w:pPr>
              <w:spacing w:after="0" w:line="240" w:lineRule="auto"/>
              <w:rPr>
                <w:color w:val="000000"/>
                <w:spacing w:val="16"/>
              </w:rPr>
            </w:pPr>
            <w:r>
              <w:rPr>
                <w:rFonts w:hint="eastAsia" w:cs="Times New Roman"/>
                <w:color w:val="000000"/>
                <w:spacing w:val="4"/>
              </w:rPr>
              <w:t>Country</w:t>
            </w:r>
            <w:r>
              <w:rPr>
                <w:rFonts w:hint="eastAsia"/>
                <w:color w:val="000000"/>
                <w:spacing w:val="16"/>
              </w:rPr>
              <w:t xml:space="preserve"> </w:t>
            </w:r>
            <w:r>
              <w:rPr>
                <w:rFonts w:hint="eastAsia" w:ascii="仿宋" w:hAnsi="仿宋" w:eastAsia="仿宋"/>
                <w:color w:val="000000"/>
                <w:spacing w:val="13"/>
              </w:rPr>
              <w:t>國家</w:t>
            </w:r>
          </w:p>
        </w:tc>
        <w:tc>
          <w:tcPr>
            <w:tcW w:w="2977" w:type="dxa"/>
            <w:gridSpan w:val="6"/>
            <w:tcBorders>
              <w:bottom w:val="single" w:color="auto" w:sz="4" w:space="0"/>
            </w:tcBorders>
            <w:shd w:val="clear" w:color="auto" w:fill="auto"/>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34" w:type="dxa"/>
            <w:gridSpan w:val="6"/>
            <w:tcBorders>
              <w:bottom w:val="single" w:color="auto" w:sz="4" w:space="0"/>
              <w:right w:val="nil"/>
            </w:tcBorders>
            <w:vAlign w:val="center"/>
          </w:tcPr>
          <w:p>
            <w:pPr>
              <w:spacing w:after="0" w:line="240" w:lineRule="auto"/>
              <w:rPr>
                <w:color w:val="000000"/>
                <w:spacing w:val="16"/>
              </w:rPr>
            </w:pPr>
            <w:r>
              <w:rPr>
                <w:rFonts w:hint="eastAsia"/>
                <w:color w:val="000000"/>
                <w:spacing w:val="3"/>
              </w:rPr>
              <w:t xml:space="preserve">Code </w:t>
            </w:r>
            <w:r>
              <w:rPr>
                <w:rFonts w:hint="eastAsia" w:ascii="仿宋" w:hAnsi="仿宋" w:eastAsia="仿宋"/>
                <w:color w:val="000000"/>
                <w:spacing w:val="13"/>
              </w:rPr>
              <w:t>代碼</w:t>
            </w:r>
          </w:p>
        </w:tc>
        <w:tc>
          <w:tcPr>
            <w:tcW w:w="3402" w:type="dxa"/>
            <w:gridSpan w:val="5"/>
            <w:tcBorders>
              <w:left w:val="nil"/>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18"/>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59   </w:t>
            </w:r>
            <w:r>
              <w:rPr>
                <w:color w:val="000000"/>
                <w:spacing w:val="3"/>
              </w:rPr>
              <w:t xml:space="preserve"> </w:t>
            </w:r>
            <w:r>
              <w:rPr>
                <w:rFonts w:hint="eastAsia"/>
                <w:color w:val="000000"/>
                <w:spacing w:val="3"/>
              </w:rPr>
              <w:t>Beneficiary</w:t>
            </w:r>
          </w:p>
          <w:p>
            <w:pPr>
              <w:spacing w:after="0" w:line="240" w:lineRule="auto"/>
              <w:rPr>
                <w:color w:val="000000"/>
                <w:spacing w:val="3"/>
              </w:rPr>
            </w:pPr>
            <w:r>
              <w:rPr>
                <w:rFonts w:hint="eastAsia" w:ascii="仿宋" w:hAnsi="仿宋"/>
                <w:color w:val="000000"/>
                <w:spacing w:val="13"/>
              </w:rPr>
              <w:t xml:space="preserve">   </w:t>
            </w:r>
            <w:r>
              <w:rPr>
                <w:rFonts w:ascii="仿宋" w:hAnsi="仿宋"/>
                <w:color w:val="000000"/>
                <w:spacing w:val="13"/>
              </w:rPr>
              <w:t xml:space="preserve"> </w:t>
            </w:r>
            <w:r>
              <w:rPr>
                <w:rFonts w:hint="eastAsia" w:ascii="仿宋" w:hAnsi="仿宋" w:eastAsia="仿宋"/>
                <w:color w:val="000000"/>
                <w:spacing w:val="13"/>
              </w:rPr>
              <w:t>收款人</w:t>
            </w:r>
          </w:p>
        </w:tc>
        <w:tc>
          <w:tcPr>
            <w:tcW w:w="1545" w:type="dxa"/>
            <w:gridSpan w:val="4"/>
            <w:vAlign w:val="center"/>
          </w:tcPr>
          <w:p>
            <w:pPr>
              <w:spacing w:after="0" w:line="240" w:lineRule="auto"/>
              <w:rPr>
                <w:color w:val="000000"/>
                <w:spacing w:val="16"/>
                <w:szCs w:val="16"/>
              </w:rPr>
            </w:pPr>
            <w:r>
              <w:rPr>
                <w:rFonts w:hint="eastAsia" w:cs="Times New Roman"/>
                <w:color w:val="000000"/>
                <w:spacing w:val="4"/>
                <w:szCs w:val="16"/>
              </w:rPr>
              <w:t xml:space="preserve">Name </w:t>
            </w:r>
            <w:r>
              <w:rPr>
                <w:rFonts w:hint="eastAsia" w:ascii="仿宋" w:hAnsi="仿宋" w:eastAsia="仿宋"/>
                <w:color w:val="000000"/>
                <w:spacing w:val="13"/>
                <w:szCs w:val="16"/>
              </w:rPr>
              <w:t>名稱</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r>
              <w:rPr>
                <w:rFonts w:hint="eastAsia" w:cs="Times New Roman"/>
                <w:color w:val="000000" w:themeColor="text1"/>
                <w:spacing w:val="4"/>
                <w:sz w:val="14"/>
                <w:szCs w:val="1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tcBorders>
            <w:vAlign w:val="center"/>
          </w:tcPr>
          <w:p>
            <w:pPr>
              <w:spacing w:after="0" w:line="240" w:lineRule="auto"/>
              <w:rPr>
                <w:color w:val="000000"/>
                <w:spacing w:val="3"/>
              </w:rPr>
            </w:pPr>
          </w:p>
        </w:tc>
        <w:tc>
          <w:tcPr>
            <w:tcW w:w="1545" w:type="dxa"/>
            <w:gridSpan w:val="4"/>
            <w:vAlign w:val="center"/>
          </w:tcPr>
          <w:p>
            <w:pPr>
              <w:spacing w:after="0" w:line="240" w:lineRule="auto"/>
              <w:rPr>
                <w:color w:val="000000"/>
                <w:spacing w:val="16"/>
                <w:szCs w:val="16"/>
              </w:rPr>
            </w:pPr>
            <w:r>
              <w:rPr>
                <w:rFonts w:hint="eastAsia" w:cs="Times New Roman"/>
                <w:color w:val="000000" w:themeColor="text1"/>
                <w:spacing w:val="4"/>
                <w:szCs w:val="16"/>
                <w14:textFill>
                  <w14:solidFill>
                    <w14:schemeClr w14:val="tx1"/>
                  </w14:solidFill>
                </w14:textFill>
              </w:rPr>
              <w:t>Address</w:t>
            </w:r>
            <w:r>
              <w:rPr>
                <w:rFonts w:hint="eastAsia"/>
                <w:color w:val="000000" w:themeColor="text1"/>
                <w:spacing w:val="16"/>
                <w:szCs w:val="16"/>
                <w14:textFill>
                  <w14:solidFill>
                    <w14:schemeClr w14:val="tx1"/>
                  </w14:solidFill>
                </w14:textFill>
              </w:rPr>
              <w:t xml:space="preserve"> </w:t>
            </w:r>
            <w:r>
              <w:rPr>
                <w:rFonts w:hint="eastAsia" w:ascii="仿宋" w:hAnsi="仿宋" w:eastAsia="仿宋"/>
                <w:color w:val="000000" w:themeColor="text1"/>
                <w:spacing w:val="13"/>
                <w:szCs w:val="16"/>
                <w14:textFill>
                  <w14:solidFill>
                    <w14:schemeClr w14:val="tx1"/>
                  </w14:solidFill>
                </w14:textFill>
              </w:rPr>
              <w:t>地址</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exact"/>
        </w:trPr>
        <w:tc>
          <w:tcPr>
            <w:tcW w:w="2424" w:type="dxa"/>
            <w:gridSpan w:val="3"/>
            <w:vMerge w:val="continue"/>
            <w:tcBorders>
              <w:left w:val="single" w:color="auto" w:sz="4" w:space="0"/>
            </w:tcBorders>
          </w:tcPr>
          <w:p>
            <w:pPr>
              <w:spacing w:after="0" w:line="240" w:lineRule="auto"/>
              <w:rPr>
                <w:color w:val="000000"/>
                <w:spacing w:val="16"/>
              </w:rPr>
            </w:pPr>
          </w:p>
        </w:tc>
        <w:tc>
          <w:tcPr>
            <w:tcW w:w="9058" w:type="dxa"/>
            <w:gridSpan w:val="21"/>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tcBorders>
          </w:tcPr>
          <w:p>
            <w:pPr>
              <w:spacing w:after="0" w:line="240" w:lineRule="auto"/>
              <w:rPr>
                <w:color w:val="000000"/>
                <w:spacing w:val="16"/>
              </w:rPr>
            </w:pPr>
          </w:p>
        </w:tc>
        <w:tc>
          <w:tcPr>
            <w:tcW w:w="4522" w:type="dxa"/>
            <w:gridSpan w:val="10"/>
            <w:vAlign w:val="center"/>
          </w:tcPr>
          <w:p>
            <w:pPr>
              <w:spacing w:after="0" w:line="240" w:lineRule="auto"/>
              <w:rPr>
                <w:color w:val="000000" w:themeColor="text1"/>
                <w:spacing w:val="16"/>
                <w:szCs w:val="16"/>
                <w:lang w:eastAsia="zh-HK"/>
                <w14:textFill>
                  <w14:solidFill>
                    <w14:schemeClr w14:val="tx1"/>
                  </w14:solidFill>
                </w14:textFill>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536" w:type="dxa"/>
            <w:gridSpan w:val="11"/>
            <w:vMerge w:val="restart"/>
          </w:tcPr>
          <w:p>
            <w:pPr>
              <w:spacing w:after="0" w:line="240" w:lineRule="auto"/>
              <w:rPr>
                <w:color w:val="000000"/>
                <w:spacing w:val="16"/>
                <w:sz w:val="14"/>
                <w:lang w:eastAsia="zh-CN"/>
              </w:rPr>
            </w:pPr>
            <w:r>
              <w:rPr>
                <w:rFonts w:hint="eastAsia" w:cs="Times New Roman"/>
                <w:color w:val="000000" w:themeColor="text1"/>
                <w:spacing w:val="4"/>
                <w:sz w:val="14"/>
                <w:szCs w:val="16"/>
                <w14:textFill>
                  <w14:solidFill>
                    <w14:schemeClr w14:val="tx1"/>
                  </w14:solidFill>
                </w14:textFill>
              </w:rPr>
              <w:t>Account No.</w:t>
            </w:r>
            <w:r>
              <w:rPr>
                <w:rFonts w:hint="eastAsia" w:ascii="仿宋" w:hAnsi="仿宋"/>
                <w:color w:val="000000" w:themeColor="text1"/>
                <w:spacing w:val="13"/>
                <w:sz w:val="14"/>
                <w:szCs w:val="16"/>
                <w:lang w:eastAsia="zh-HK"/>
                <w14:textFill>
                  <w14:solidFill>
                    <w14:schemeClr w14:val="tx1"/>
                  </w14:solidFill>
                </w14:textFill>
              </w:rPr>
              <w:t>/</w:t>
            </w:r>
            <w:r>
              <w:rPr>
                <w:rFonts w:hint="eastAsia" w:cs="Times New Roman"/>
                <w:color w:val="000000" w:themeColor="text1"/>
                <w:spacing w:val="4"/>
                <w:sz w:val="14"/>
                <w:szCs w:val="16"/>
                <w14:textFill>
                  <w14:solidFill>
                    <w14:schemeClr w14:val="tx1"/>
                  </w14:solidFill>
                </w14:textFill>
              </w:rPr>
              <w:t>IBAN</w:t>
            </w:r>
            <w:r>
              <w:rPr>
                <w:rFonts w:hint="eastAsia" w:eastAsia="宋体" w:cs="Times New Roman"/>
                <w:color w:val="000000" w:themeColor="text1"/>
                <w:spacing w:val="4"/>
                <w:sz w:val="14"/>
                <w:szCs w:val="16"/>
                <w:lang w:eastAsia="zh-CN"/>
                <w14:textFill>
                  <w14:solidFill>
                    <w14:schemeClr w14:val="tx1"/>
                  </w14:solidFill>
                </w14:textFill>
              </w:rPr>
              <w:t xml:space="preserve"> </w:t>
            </w:r>
            <w:r>
              <w:rPr>
                <w:rFonts w:hint="eastAsia" w:ascii="仿宋" w:hAnsi="仿宋" w:eastAsia="仿宋"/>
                <w:color w:val="000000" w:themeColor="text1"/>
                <w:spacing w:val="13"/>
                <w:sz w:val="14"/>
                <w:szCs w:val="16"/>
                <w14:textFill>
                  <w14:solidFill>
                    <w14:schemeClr w14:val="tx1"/>
                  </w14:solidFill>
                </w14:textFill>
              </w:rPr>
              <w:t>賬户號碼</w:t>
            </w:r>
          </w:p>
          <w:p>
            <w:pPr>
              <w:spacing w:after="0" w:line="240" w:lineRule="auto"/>
              <w:rPr>
                <w:rFonts w:eastAsia="宋体"/>
                <w:color w:val="000000"/>
                <w:spacing w:val="16"/>
                <w:lang w:eastAsia="zh-CN"/>
              </w:rPr>
            </w:pPr>
          </w:p>
          <w:p>
            <w:pPr>
              <w:spacing w:after="0" w:line="240" w:lineRule="auto"/>
              <w:rPr>
                <w:color w:val="000000"/>
                <w:spacing w:val="16"/>
              </w:rPr>
            </w:pPr>
            <w:r>
              <w:rPr>
                <w:color w:val="000000"/>
                <w:spacing w:val="16"/>
              </w:rPr>
              <w:fldChar w:fldCharType="begin">
                <w:ffData>
                  <w:enabled/>
                  <w:calcOnExit w:val="0"/>
                  <w:textInput>
                    <w:maxLength w:val="26"/>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r>
              <w:rPr>
                <w:rFonts w:hint="eastAsia" w:cs="Times New Roman"/>
                <w:color w:val="000000" w:themeColor="text1"/>
                <w:spacing w:val="4"/>
                <w:szCs w:val="1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bottom w:val="single" w:color="auto" w:sz="4" w:space="0"/>
            </w:tcBorders>
          </w:tcPr>
          <w:p>
            <w:pPr>
              <w:spacing w:after="0" w:line="240" w:lineRule="auto"/>
              <w:rPr>
                <w:color w:val="000000"/>
                <w:spacing w:val="16"/>
              </w:rPr>
            </w:pPr>
          </w:p>
        </w:tc>
        <w:tc>
          <w:tcPr>
            <w:tcW w:w="4522" w:type="dxa"/>
            <w:gridSpan w:val="10"/>
            <w:tcBorders>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536" w:type="dxa"/>
            <w:gridSpan w:val="11"/>
            <w:vMerge w:val="continue"/>
            <w:tcBorders>
              <w:bottom w:val="single" w:color="auto" w:sz="4" w:space="0"/>
            </w:tcBorders>
          </w:tcPr>
          <w:p>
            <w:pPr>
              <w:spacing w:after="0" w:line="240" w:lineRule="auto"/>
              <w:rPr>
                <w:rFonts w:cs="Times New Roman"/>
                <w:color w:val="000000" w:themeColor="text1"/>
                <w:spacing w:val="4"/>
                <w:sz w:val="14"/>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11482" w:type="dxa"/>
            <w:gridSpan w:val="24"/>
            <w:tcBorders>
              <w:top w:val="single" w:color="auto" w:sz="4" w:space="0"/>
              <w:left w:val="single" w:color="auto" w:sz="4" w:space="0"/>
              <w:bottom w:val="nil"/>
            </w:tcBorders>
            <w:vAlign w:val="center"/>
          </w:tcPr>
          <w:p>
            <w:pPr>
              <w:spacing w:after="0" w:line="240" w:lineRule="auto"/>
              <w:rPr>
                <w:color w:val="000000"/>
                <w:spacing w:val="16"/>
              </w:rPr>
            </w:pPr>
            <w:r>
              <w:rPr>
                <w:color w:val="000000"/>
                <w:spacing w:val="16"/>
              </w:rPr>
              <w:t xml:space="preserve">70   </w:t>
            </w:r>
            <w:r>
              <w:rPr>
                <w:color w:val="000000"/>
                <w:spacing w:val="3"/>
              </w:rPr>
              <w:t>Message to Beneficiary</w:t>
            </w:r>
            <w:r>
              <w:rPr>
                <w:rFonts w:hint="eastAsia" w:ascii="仿宋" w:hAnsi="仿宋" w:eastAsia="仿宋"/>
                <w:color w:val="000000"/>
                <w:spacing w:val="13"/>
              </w:rPr>
              <w:t>給收款人的附言</w:t>
            </w:r>
            <w:r>
              <w:rPr>
                <w:rFonts w:ascii="仿宋" w:hAnsi="仿宋" w:eastAsia="仿宋"/>
                <w:color w:val="000000"/>
                <w:spacing w:val="13"/>
              </w:rPr>
              <w:t xml:space="preserve"> </w:t>
            </w:r>
            <w:r>
              <w:rPr>
                <w:color w:val="000000"/>
                <w:spacing w:val="16"/>
              </w:rPr>
              <w:t>(</w:t>
            </w:r>
            <w:r>
              <w:rPr>
                <w:color w:val="000000"/>
                <w:spacing w:val="3"/>
              </w:rPr>
              <w:t xml:space="preserve">Maximum 140 English Characters only </w:t>
            </w:r>
            <w:r>
              <w:rPr>
                <w:rFonts w:hint="eastAsia" w:ascii="仿宋" w:hAnsi="仿宋" w:eastAsia="仿宋"/>
                <w:color w:val="000000"/>
                <w:spacing w:val="13"/>
              </w:rPr>
              <w:t>最多</w:t>
            </w:r>
            <w:r>
              <w:rPr>
                <w:rFonts w:ascii="仿宋" w:hAnsi="仿宋" w:eastAsia="仿宋"/>
                <w:color w:val="000000"/>
                <w:spacing w:val="13"/>
              </w:rPr>
              <w:t>140</w:t>
            </w:r>
            <w:r>
              <w:rPr>
                <w:rFonts w:hint="eastAsia" w:ascii="仿宋" w:hAnsi="仿宋" w:eastAsia="仿宋"/>
                <w:color w:val="000000"/>
                <w:spacing w:val="13"/>
              </w:rPr>
              <w:t>個英文字母</w:t>
            </w:r>
            <w:r>
              <w:rPr>
                <w:color w:val="000000"/>
                <w:spacing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exact"/>
        </w:trPr>
        <w:tc>
          <w:tcPr>
            <w:tcW w:w="494" w:type="dxa"/>
            <w:tcBorders>
              <w:top w:val="nil"/>
              <w:bottom w:val="nil"/>
              <w:right w:val="nil"/>
            </w:tcBorders>
            <w:vAlign w:val="bottom"/>
          </w:tcPr>
          <w:p>
            <w:pPr>
              <w:spacing w:after="0" w:line="240" w:lineRule="auto"/>
              <w:rPr>
                <w:color w:val="000000"/>
                <w:spacing w:val="16"/>
              </w:rPr>
            </w:pPr>
          </w:p>
        </w:tc>
        <w:tc>
          <w:tcPr>
            <w:tcW w:w="10563" w:type="dxa"/>
            <w:gridSpan w:val="22"/>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7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25" w:type="dxa"/>
            <w:tcBorders>
              <w:top w:val="nil"/>
              <w:left w:val="nil"/>
              <w:bottom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494" w:type="dxa"/>
            <w:tcBorders>
              <w:top w:val="nil"/>
              <w:bottom w:val="nil"/>
              <w:right w:val="nil"/>
            </w:tcBorders>
            <w:vAlign w:val="bottom"/>
          </w:tcPr>
          <w:p>
            <w:pPr>
              <w:spacing w:after="0" w:line="240" w:lineRule="auto"/>
              <w:rPr>
                <w:color w:val="000000"/>
                <w:spacing w:val="16"/>
              </w:rPr>
            </w:pPr>
          </w:p>
        </w:tc>
        <w:tc>
          <w:tcPr>
            <w:tcW w:w="10563" w:type="dxa"/>
            <w:gridSpan w:val="22"/>
            <w:tcBorders>
              <w:top w:val="single" w:color="auto" w:sz="4" w:space="0"/>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7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25" w:type="dxa"/>
            <w:tcBorders>
              <w:top w:val="nil"/>
              <w:left w:val="nil"/>
              <w:bottom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exact"/>
        </w:trPr>
        <w:tc>
          <w:tcPr>
            <w:tcW w:w="494" w:type="dxa"/>
            <w:tcBorders>
              <w:top w:val="nil"/>
              <w:right w:val="nil"/>
            </w:tcBorders>
          </w:tcPr>
          <w:p>
            <w:pPr>
              <w:spacing w:after="0" w:line="240" w:lineRule="auto"/>
              <w:rPr>
                <w:color w:val="000000"/>
                <w:spacing w:val="16"/>
              </w:rPr>
            </w:pPr>
          </w:p>
        </w:tc>
        <w:tc>
          <w:tcPr>
            <w:tcW w:w="10563" w:type="dxa"/>
            <w:gridSpan w:val="22"/>
            <w:tcBorders>
              <w:top w:val="single" w:color="auto" w:sz="4" w:space="0"/>
              <w:left w:val="nil"/>
              <w:right w:val="nil"/>
            </w:tcBorders>
            <w:vAlign w:val="bottom"/>
          </w:tcPr>
          <w:p>
            <w:pPr>
              <w:spacing w:after="0" w:line="240" w:lineRule="auto"/>
              <w:rPr>
                <w:color w:val="000000"/>
                <w:spacing w:val="16"/>
              </w:rPr>
            </w:pPr>
          </w:p>
        </w:tc>
        <w:tc>
          <w:tcPr>
            <w:tcW w:w="425" w:type="dxa"/>
            <w:tcBorders>
              <w:top w:val="nil"/>
              <w:left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1482" w:type="dxa"/>
            <w:gridSpan w:val="24"/>
            <w:tcBorders>
              <w:left w:val="single" w:color="auto" w:sz="4" w:space="0"/>
            </w:tcBorders>
          </w:tcPr>
          <w:p>
            <w:pPr>
              <w:spacing w:before="20" w:after="0" w:line="240" w:lineRule="auto"/>
              <w:rPr>
                <w:color w:val="000000" w:themeColor="text1"/>
                <w:spacing w:val="3"/>
                <w14:textFill>
                  <w14:solidFill>
                    <w14:schemeClr w14:val="tx1"/>
                  </w14:solidFill>
                </w14:textFill>
              </w:rPr>
            </w:pPr>
            <w:r>
              <w:rPr>
                <w:color w:val="000000" w:themeColor="text1"/>
                <w:spacing w:val="3"/>
                <w14:textFill>
                  <w14:solidFill>
                    <w14:schemeClr w14:val="tx1"/>
                  </w14:solidFill>
                </w14:textFill>
              </w:rPr>
              <w:t xml:space="preserve">71    Remittance Transaction Charges </w:t>
            </w:r>
            <w:r>
              <w:rPr>
                <w:rFonts w:hint="eastAsia" w:ascii="仿宋" w:hAnsi="仿宋" w:eastAsia="仿宋"/>
                <w:color w:val="000000" w:themeColor="text1"/>
                <w:spacing w:val="13"/>
                <w14:textFill>
                  <w14:solidFill>
                    <w14:schemeClr w14:val="tx1"/>
                  </w14:solidFill>
                </w14:textFill>
              </w:rPr>
              <w:t>匯款費用</w:t>
            </w:r>
          </w:p>
          <w:p>
            <w:pPr>
              <w:spacing w:before="20" w:after="0" w:line="240" w:lineRule="auto"/>
              <w:ind w:left="733" w:hanging="747" w:hangingChars="450"/>
              <w:rPr>
                <w:rFonts w:asciiTheme="minorEastAsia" w:hAnsiTheme="minorEastAsia"/>
                <w:color w:val="000000" w:themeColor="text1"/>
                <w:spacing w:val="13"/>
                <w14:textFill>
                  <w14:solidFill>
                    <w14:schemeClr w14:val="tx1"/>
                  </w14:solidFill>
                </w14:textFill>
              </w:rPr>
            </w:pPr>
            <w:r>
              <w:rPr>
                <w:rFonts w:hint="eastAsia"/>
                <w:color w:val="000000" w:themeColor="text1"/>
                <w:spacing w:val="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bookmarkStart w:id="4" w:name="Check2"/>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bookmarkEnd w:id="4"/>
            <w:r>
              <w:rPr>
                <w:rFonts w:cs="Times New Roman"/>
                <w:color w:val="000000" w:themeColor="text1"/>
                <w:spacing w:val="4"/>
                <w14:textFill>
                  <w14:solidFill>
                    <w14:schemeClr w14:val="tx1"/>
                  </w14:solidFill>
                </w14:textFill>
              </w:rPr>
              <w:t xml:space="preserve">    (SHA) I/We pay local bank charges and the beneficiary pays overseas bank charges</w:t>
            </w:r>
            <w:r>
              <w:rPr>
                <w:color w:val="000000" w:themeColor="text1"/>
                <w:spacing w:val="3"/>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本地銀行費用由本人／吾等支付</w:t>
            </w:r>
            <w:r>
              <w:rPr>
                <w:rFonts w:hint="eastAsia"/>
                <w:color w:val="000000" w:themeColor="text1"/>
                <w:spacing w:val="3"/>
                <w:sz w:val="14"/>
                <w:szCs w:val="14"/>
                <w14:textFill>
                  <w14:solidFill>
                    <w14:schemeClr w14:val="tx1"/>
                  </w14:solidFill>
                </w14:textFill>
              </w:rPr>
              <w:t>，</w:t>
            </w:r>
            <w:r>
              <w:rPr>
                <w:rFonts w:hint="eastAsia" w:ascii="仿宋" w:hAnsi="仿宋" w:eastAsia="仿宋"/>
                <w:color w:val="000000" w:themeColor="text1"/>
                <w:spacing w:val="13"/>
                <w14:textFill>
                  <w14:solidFill>
                    <w14:schemeClr w14:val="tx1"/>
                  </w14:solidFill>
                </w14:textFill>
              </w:rPr>
              <w:t>海外銀行費用由收款人支付</w:t>
            </w:r>
          </w:p>
          <w:p>
            <w:pPr>
              <w:spacing w:before="20" w:after="0" w:line="240" w:lineRule="auto"/>
              <w:ind w:left="733" w:hanging="747" w:hangingChars="450"/>
              <w:rPr>
                <w:rFonts w:ascii="仿宋" w:hAnsi="仿宋" w:eastAsia="仿宋"/>
                <w:color w:val="000000" w:themeColor="text1"/>
                <w:spacing w:val="13"/>
                <w:szCs w:val="16"/>
                <w14:textFill>
                  <w14:solidFill>
                    <w14:schemeClr w14:val="tx1"/>
                  </w14:solidFill>
                </w14:textFill>
              </w:rPr>
            </w:pPr>
            <w:r>
              <w:rPr>
                <w:rFonts w:hint="eastAsia"/>
                <w:color w:val="000000" w:themeColor="text1"/>
                <w:spacing w:val="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(OUR) I/We pay local bank charges and overseas bank charges (Please refer to Condition 7 printed overleaf)</w:t>
            </w:r>
            <w:r>
              <w:rPr>
                <w:color w:val="000000" w:themeColor="text1"/>
                <w:spacing w:val="3"/>
                <w:szCs w:val="16"/>
                <w14:textFill>
                  <w14:solidFill>
                    <w14:schemeClr w14:val="tx1"/>
                  </w14:solidFill>
                </w14:textFill>
              </w:rPr>
              <w:t xml:space="preserve"> </w:t>
            </w:r>
            <w:r>
              <w:rPr>
                <w:rFonts w:hint="eastAsia" w:ascii="仿宋" w:hAnsi="仿宋" w:eastAsia="仿宋"/>
                <w:color w:val="000000" w:themeColor="text1"/>
                <w:spacing w:val="13"/>
                <w:szCs w:val="16"/>
                <w14:textFill>
                  <w14:solidFill>
                    <w14:schemeClr w14:val="tx1"/>
                  </w14:solidFill>
                </w14:textFill>
              </w:rPr>
              <w:t>本地銀行和海外銀行費用由本人／吾等支付（請參閱背頁所載條款第</w:t>
            </w:r>
            <w:r>
              <w:rPr>
                <w:rFonts w:ascii="仿宋" w:hAnsi="仿宋" w:eastAsia="仿宋"/>
                <w:color w:val="000000" w:themeColor="text1"/>
                <w:spacing w:val="13"/>
                <w:szCs w:val="16"/>
                <w14:textFill>
                  <w14:solidFill>
                    <w14:schemeClr w14:val="tx1"/>
                  </w14:solidFill>
                </w14:textFill>
              </w:rPr>
              <w:t>7</w:t>
            </w:r>
            <w:r>
              <w:rPr>
                <w:rFonts w:hint="eastAsia" w:ascii="仿宋" w:hAnsi="仿宋" w:eastAsia="仿宋"/>
                <w:color w:val="000000" w:themeColor="text1"/>
                <w:spacing w:val="13"/>
                <w:szCs w:val="16"/>
                <w14:textFill>
                  <w14:solidFill>
                    <w14:schemeClr w14:val="tx1"/>
                  </w14:solidFill>
                </w14:textFill>
              </w:rPr>
              <w:t>條</w:t>
            </w:r>
            <w:r>
              <w:rPr>
                <w:rFonts w:ascii="仿宋" w:hAnsi="仿宋" w:eastAsia="仿宋"/>
                <w:color w:val="000000" w:themeColor="text1"/>
                <w:spacing w:val="13"/>
                <w:szCs w:val="16"/>
                <w14:textFill>
                  <w14:solidFill>
                    <w14:schemeClr w14:val="tx1"/>
                  </w14:solidFill>
                </w14:textFill>
              </w:rPr>
              <w:t>)</w:t>
            </w:r>
          </w:p>
          <w:p>
            <w:pPr>
              <w:spacing w:before="20" w:after="0" w:line="240" w:lineRule="auto"/>
              <w:rPr>
                <w:rFonts w:asciiTheme="minorEastAsia" w:hAnsiTheme="minorEastAsia"/>
                <w:color w:val="000000" w:themeColor="text1"/>
                <w:spacing w:val="13"/>
                <w14:textFill>
                  <w14:solidFill>
                    <w14:schemeClr w14:val="tx1"/>
                  </w14:solidFill>
                </w14:textFill>
              </w:rPr>
            </w:pPr>
            <w:r>
              <w:rPr>
                <w:rFonts w:hint="eastAsia"/>
                <w:color w:val="000000" w:themeColor="text1"/>
                <w:spacing w:val="3"/>
                <w14:textFill>
                  <w14:solidFill>
                    <w14:schemeClr w14:val="tx1"/>
                  </w14:solidFill>
                </w14:textFill>
              </w:rPr>
              <w:t xml:space="preserve">        </w:t>
            </w:r>
            <w:r>
              <w:rPr>
                <w:color w:val="000000" w:themeColor="text1"/>
                <w:spacing w:val="3"/>
                <w14:textFill>
                  <w14:solidFill>
                    <w14:schemeClr w14:val="tx1"/>
                  </w14:solidFill>
                </w14:textFill>
              </w:rPr>
              <w:fldChar w:fldCharType="begin">
                <w:ffData>
                  <w:name w:val="Check2"/>
                  <w:enabled/>
                  <w:calcOnExit w:val="0"/>
                  <w:checkBox>
                    <w:sizeAuto/>
                    <w:default w:val="0"/>
                    <w:checked w:val="0"/>
                  </w:checkBox>
                </w:ffData>
              </w:fldChar>
            </w:r>
            <w:r>
              <w:rPr>
                <w:color w:val="000000" w:themeColor="text1"/>
                <w:spacing w:val="3"/>
                <w14:textFill>
                  <w14:solidFill>
                    <w14:schemeClr w14:val="tx1"/>
                  </w14:solidFill>
                </w14:textFill>
              </w:rPr>
              <w:instrText xml:space="preserve"> FORMCHECKBOX </w:instrText>
            </w:r>
            <w:r>
              <w:rPr>
                <w:color w:val="000000" w:themeColor="text1"/>
                <w:spacing w:val="3"/>
                <w14:textFill>
                  <w14:solidFill>
                    <w14:schemeClr w14:val="tx1"/>
                  </w14:solidFill>
                </w14:textFill>
              </w:rPr>
              <w:fldChar w:fldCharType="separate"/>
            </w:r>
            <w:r>
              <w:rPr>
                <w:color w:val="000000" w:themeColor="text1"/>
                <w:spacing w:val="3"/>
                <w14:textFill>
                  <w14:solidFill>
                    <w14:schemeClr w14:val="tx1"/>
                  </w14:solidFill>
                </w14:textFill>
              </w:rPr>
              <w:fldChar w:fldCharType="end"/>
            </w:r>
            <w:r>
              <w:rPr>
                <w:color w:val="000000" w:themeColor="text1"/>
                <w:spacing w:val="3"/>
                <w14:textFill>
                  <w14:solidFill>
                    <w14:schemeClr w14:val="tx1"/>
                  </w14:solidFill>
                </w14:textFill>
              </w:rPr>
              <w:t xml:space="preserve">    (BEN) Local bank and overseas bank charges are to be deducted from the amount remitted </w:t>
            </w:r>
            <w:r>
              <w:rPr>
                <w:rFonts w:hint="eastAsia" w:ascii="仿宋" w:hAnsi="仿宋" w:eastAsia="仿宋"/>
                <w:color w:val="000000" w:themeColor="text1"/>
                <w:spacing w:val="13"/>
                <w14:textFill>
                  <w14:solidFill>
                    <w14:schemeClr w14:val="tx1"/>
                  </w14:solidFill>
                </w14:textFill>
              </w:rPr>
              <w:t>本地銀行和海外銀行費用由匯款金額中扣除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1482" w:type="dxa"/>
            <w:gridSpan w:val="24"/>
            <w:tcBorders>
              <w:left w:val="single" w:color="auto" w:sz="4" w:space="0"/>
            </w:tcBorders>
          </w:tcPr>
          <w:p>
            <w:pPr>
              <w:spacing w:before="20" w:after="0" w:line="240" w:lineRule="auto"/>
              <w:rPr>
                <w:rFonts w:ascii="仿宋" w:hAnsi="仿宋" w:eastAsia="仿宋"/>
                <w:color w:val="000000" w:themeColor="text1"/>
                <w:spacing w:val="13"/>
                <w14:textFill>
                  <w14:solidFill>
                    <w14:schemeClr w14:val="tx1"/>
                  </w14:solidFill>
                </w14:textFill>
              </w:rPr>
            </w:pPr>
            <w:r>
              <w:rPr>
                <w:color w:val="000000" w:themeColor="text1"/>
                <w:spacing w:val="3"/>
                <w14:textFill>
                  <w14:solidFill>
                    <w14:schemeClr w14:val="tx1"/>
                  </w14:solidFill>
                </w14:textFill>
              </w:rPr>
              <w:t xml:space="preserve">Purpose of Payment </w:t>
            </w:r>
            <w:r>
              <w:rPr>
                <w:rFonts w:hint="eastAsia" w:ascii="仿宋" w:hAnsi="仿宋" w:eastAsia="仿宋"/>
                <w:color w:val="000000" w:themeColor="text1"/>
                <w:spacing w:val="13"/>
                <w14:textFill>
                  <w14:solidFill>
                    <w14:schemeClr w14:val="tx1"/>
                  </w14:solidFill>
                </w14:textFill>
              </w:rPr>
              <w:t>匯款用途</w:t>
            </w:r>
            <w:r>
              <w:rPr>
                <w:rFonts w:ascii="仿宋" w:hAnsi="仿宋" w:eastAsia="仿宋"/>
                <w:color w:val="000000" w:themeColor="text1"/>
                <w:spacing w:val="13"/>
                <w14:textFill>
                  <w14:solidFill>
                    <w14:schemeClr w14:val="tx1"/>
                  </w14:solidFill>
                </w14:textFill>
              </w:rPr>
              <w:t xml:space="preserve"> (</w:t>
            </w:r>
            <w:r>
              <w:rPr>
                <w:color w:val="000000" w:themeColor="text1"/>
                <w:spacing w:val="3"/>
                <w14:textFill>
                  <w14:solidFill>
                    <w14:schemeClr w14:val="tx1"/>
                  </w14:solidFill>
                </w14:textFill>
              </w:rPr>
              <w:t>Mandatory for Cross-border RMB Remittance</w:t>
            </w:r>
            <w:r>
              <w:rPr>
                <w:rFonts w:hint="eastAsia" w:ascii="仿宋" w:hAnsi="仿宋" w:eastAsia="仿宋"/>
                <w:color w:val="000000" w:themeColor="text1"/>
                <w:spacing w:val="13"/>
                <w14:textFill>
                  <w14:solidFill>
                    <w14:schemeClr w14:val="tx1"/>
                  </w14:solidFill>
                </w14:textFill>
              </w:rPr>
              <w:t>跨境人民幣匯款必須提供</w:t>
            </w:r>
            <w:r>
              <w:rPr>
                <w:rFonts w:ascii="仿宋" w:hAnsi="仿宋" w:eastAsia="仿宋"/>
                <w:color w:val="000000" w:themeColor="text1"/>
                <w:spacing w:val="13"/>
                <w14:textFill>
                  <w14:solidFill>
                    <w14:schemeClr w14:val="tx1"/>
                  </w14:solidFill>
                </w14:textFill>
              </w:rPr>
              <w:t>)</w:t>
            </w:r>
          </w:p>
          <w:p>
            <w:pPr>
              <w:spacing w:before="20" w:after="0" w:line="240" w:lineRule="auto"/>
              <w:rPr>
                <w:rFonts w:ascii="仿宋" w:hAnsi="仿宋" w:eastAsia="仿宋"/>
                <w:color w:val="000000" w:themeColor="text1"/>
                <w:spacing w:val="13"/>
                <w14:textFill>
                  <w14:solidFill>
                    <w14:schemeClr w14:val="tx1"/>
                  </w14:solidFill>
                </w14:textFill>
              </w:rPr>
            </w:pP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Goods Trade </w:t>
            </w:r>
            <w:r>
              <w:rPr>
                <w:rFonts w:hint="eastAsia" w:ascii="仿宋" w:hAnsi="仿宋" w:eastAsia="仿宋"/>
                <w:color w:val="000000" w:themeColor="text1"/>
                <w:spacing w:val="13"/>
                <w14:textFill>
                  <w14:solidFill>
                    <w14:schemeClr w14:val="tx1"/>
                  </w14:solidFill>
                </w14:textFill>
              </w:rPr>
              <w:t>貨物貿易</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Service Trade </w:t>
            </w:r>
            <w:r>
              <w:rPr>
                <w:rFonts w:hint="eastAsia" w:ascii="仿宋" w:hAnsi="仿宋" w:eastAsia="仿宋"/>
                <w:color w:val="000000" w:themeColor="text1"/>
                <w:spacing w:val="13"/>
                <w14:textFill>
                  <w14:solidFill>
                    <w14:schemeClr w14:val="tx1"/>
                  </w14:solidFill>
                </w14:textFill>
              </w:rPr>
              <w:t>服務貿易</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Capital Transfer </w:t>
            </w:r>
            <w:r>
              <w:rPr>
                <w:rFonts w:hint="eastAsia" w:ascii="仿宋" w:hAnsi="仿宋" w:eastAsia="仿宋"/>
                <w:color w:val="000000" w:themeColor="text1"/>
                <w:spacing w:val="13"/>
                <w14:textFill>
                  <w14:solidFill>
                    <w14:schemeClr w14:val="tx1"/>
                  </w14:solidFill>
                </w14:textFill>
              </w:rPr>
              <w:t>資本项下</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Others </w:t>
            </w:r>
            <w:r>
              <w:rPr>
                <w:rFonts w:hint="eastAsia" w:ascii="仿宋" w:hAnsi="仿宋" w:eastAsia="仿宋"/>
                <w:color w:val="000000" w:themeColor="text1"/>
                <w:spacing w:val="13"/>
                <w14:textFill>
                  <w14:solidFill>
                    <w14:schemeClr w14:val="tx1"/>
                  </w14:solidFill>
                </w14:textFill>
              </w:rPr>
              <w:t>其他</w:t>
            </w:r>
            <w:r>
              <w:rPr>
                <w:rFonts w:ascii="仿宋" w:hAnsi="仿宋" w:eastAsia="仿宋"/>
                <w:color w:val="000000" w:themeColor="text1"/>
                <w:spacing w:val="13"/>
                <w14:textFill>
                  <w14:solidFill>
                    <w14:schemeClr w14:val="tx1"/>
                  </w14:solidFill>
                </w14:textFill>
              </w:rPr>
              <w:t>:</w:t>
            </w:r>
            <w:r>
              <w:rPr>
                <w:rFonts w:ascii="仿宋" w:hAnsi="仿宋" w:eastAsia="仿宋"/>
                <w:color w:val="000000" w:themeColor="text1"/>
                <w:spacing w:val="13"/>
                <w:u w:val="single"/>
                <w14:textFill>
                  <w14:solidFill>
                    <w14:schemeClr w14:val="tx1"/>
                  </w14:solidFill>
                </w14:textFill>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1482" w:type="dxa"/>
            <w:gridSpan w:val="24"/>
            <w:tcBorders>
              <w:left w:val="single" w:color="auto" w:sz="4" w:space="0"/>
            </w:tcBorders>
            <w:shd w:val="clear" w:color="auto" w:fill="D8D8D8" w:themeFill="background1" w:themeFillShade="D9"/>
            <w:vAlign w:val="center"/>
          </w:tcPr>
          <w:p>
            <w:pPr>
              <w:spacing w:after="0" w:line="240" w:lineRule="auto"/>
              <w:rPr>
                <w:color w:val="000000"/>
                <w:spacing w:val="16"/>
              </w:rPr>
            </w:pPr>
            <w:r>
              <w:rPr>
                <w:color w:val="000000"/>
                <w:spacing w:val="3"/>
              </w:rPr>
              <w:t>Customer’s Declaration and Signature</w:t>
            </w:r>
            <w:r>
              <w:rPr>
                <w:color w:val="000000"/>
                <w:spacing w:val="16"/>
              </w:rPr>
              <w:t xml:space="preserve"> </w:t>
            </w:r>
            <w:r>
              <w:rPr>
                <w:rFonts w:hint="eastAsia" w:ascii="仿宋" w:hAnsi="仿宋" w:eastAsia="仿宋"/>
                <w:color w:val="000000"/>
                <w:spacing w:val="13"/>
              </w:rPr>
              <w:t>申請人聲明及簽名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trPr>
        <w:tc>
          <w:tcPr>
            <w:tcW w:w="11482" w:type="dxa"/>
            <w:gridSpan w:val="24"/>
            <w:tcBorders>
              <w:bottom w:val="single" w:color="auto" w:sz="4" w:space="0"/>
            </w:tcBorders>
          </w:tcPr>
          <w:p>
            <w:pPr>
              <w:spacing w:after="0" w:line="240" w:lineRule="auto"/>
              <w:rPr>
                <w:color w:val="000000"/>
                <w:spacing w:val="3"/>
                <w:sz w:val="12"/>
                <w:szCs w:val="12"/>
              </w:rPr>
            </w:pPr>
            <w:r>
              <w:rPr>
                <w:color w:val="000000"/>
                <w:spacing w:val="3"/>
                <w:sz w:val="12"/>
                <w:szCs w:val="12"/>
              </w:rPr>
              <w:t xml:space="preserve">I /We declare that to the extent that my/our instructions herein involve cross border remittances to mainland China, such remittances will not contravene any applicable laws, regulations or rules in mainland China and the requirements as designated by Hong Kong Monetary Authority or the relevant clearing bank in Hong Kong from time to time (the </w:t>
            </w:r>
            <w:r>
              <w:rPr>
                <w:b/>
                <w:color w:val="000000"/>
                <w:spacing w:val="3"/>
                <w:sz w:val="12"/>
                <w:szCs w:val="12"/>
              </w:rPr>
              <w:t>“Applicable Rules”</w:t>
            </w:r>
            <w:r>
              <w:rPr>
                <w:color w:val="000000"/>
                <w:spacing w:val="3"/>
                <w:sz w:val="12"/>
                <w:szCs w:val="12"/>
              </w:rPr>
              <w:t>)</w:t>
            </w:r>
            <w:r>
              <w:rPr>
                <w:b/>
                <w:color w:val="000000"/>
                <w:spacing w:val="3"/>
                <w:sz w:val="12"/>
                <w:szCs w:val="12"/>
              </w:rPr>
              <w:t>.</w:t>
            </w:r>
            <w:r>
              <w:rPr>
                <w:color w:val="000000"/>
                <w:spacing w:val="3"/>
                <w:sz w:val="12"/>
                <w:szCs w:val="12"/>
              </w:rPr>
              <w:t xml:space="preserve"> I/We further confirm that all approvals required (if any) for carrying out such instructions have been duly obtained and I/we have provided the Bank with a copy of such approvals. The Bank is fully authorised and has the absolute right to refuse to carry out my/our instructions (i) which in the opinion of the Bank may contravene the Applicable Rules or (ii) if any approval is required for carrying out such instruction, I/we fail to present such documents showing that the relevant approvals have been duly obtained to the Bank’s satisfaction. In any event, I/we will hold the Bank harmless against any loss, cost or expense the Bank may suffer or incur in connection therewith or arising therefrom.</w:t>
            </w:r>
          </w:p>
          <w:p>
            <w:pPr>
              <w:spacing w:after="0" w:line="240" w:lineRule="auto"/>
              <w:rPr>
                <w:rFonts w:ascii="仿宋" w:hAnsi="仿宋"/>
                <w:color w:val="000000"/>
                <w:spacing w:val="13"/>
                <w:sz w:val="12"/>
                <w:szCs w:val="12"/>
              </w:rPr>
            </w:pPr>
            <w:r>
              <w:rPr>
                <w:rFonts w:hint="eastAsia" w:ascii="仿宋" w:hAnsi="仿宋" w:eastAsia="仿宋"/>
                <w:color w:val="000000"/>
                <w:spacing w:val="13"/>
                <w:sz w:val="12"/>
                <w:szCs w:val="12"/>
              </w:rPr>
              <w:t xml:space="preserve">本人/吾等聲明，本人/吾等於此作出的涉及向中國境內匯款的指示不會違反中國大陸任何適用法律、法規或規則及香港金融管理局或相關清算行不時制定的要求(以下統稱 </w:t>
            </w:r>
            <w:r>
              <w:rPr>
                <w:rFonts w:ascii="仿宋" w:hAnsi="仿宋" w:eastAsia="仿宋"/>
                <w:b/>
                <w:color w:val="000000"/>
                <w:spacing w:val="13"/>
                <w:sz w:val="12"/>
                <w:szCs w:val="12"/>
              </w:rPr>
              <w:t>“</w:t>
            </w:r>
            <w:r>
              <w:rPr>
                <w:rFonts w:hint="eastAsia" w:ascii="仿宋" w:hAnsi="仿宋" w:eastAsia="仿宋"/>
                <w:b/>
                <w:color w:val="000000"/>
                <w:spacing w:val="13"/>
                <w:sz w:val="12"/>
                <w:szCs w:val="12"/>
              </w:rPr>
              <w:t>適用規則</w:t>
            </w:r>
            <w:r>
              <w:rPr>
                <w:rFonts w:ascii="仿宋" w:hAnsi="仿宋" w:eastAsia="仿宋"/>
                <w:b/>
                <w:color w:val="000000"/>
                <w:spacing w:val="13"/>
                <w:sz w:val="12"/>
                <w:szCs w:val="12"/>
              </w:rPr>
              <w:t>”</w:t>
            </w:r>
            <w:r>
              <w:rPr>
                <w:rFonts w:hint="eastAsia" w:ascii="仿宋" w:hAnsi="仿宋" w:eastAsia="仿宋"/>
                <w:color w:val="000000"/>
                <w:spacing w:val="13"/>
                <w:sz w:val="12"/>
                <w:szCs w:val="12"/>
              </w:rPr>
              <w:t>)。本人/吾等進一步確認，執行該等指示所需的一切批准(如有)已妥為獲得且本人已向貴行遞交該等批准的複印件。本人/吾等授權貴行及貴行擁有絕對權利拒絕執行本人/吾等的指示，若該指示(i)在貴行看來可能違反適用規則，或</w:t>
            </w:r>
            <w:r>
              <w:rPr>
                <w:rFonts w:ascii="仿宋" w:hAnsi="仿宋" w:eastAsia="仿宋"/>
                <w:color w:val="000000"/>
                <w:spacing w:val="13"/>
                <w:sz w:val="12"/>
                <w:szCs w:val="12"/>
              </w:rPr>
              <w:t>(i</w:t>
            </w:r>
            <w:r>
              <w:rPr>
                <w:rFonts w:hint="eastAsia" w:ascii="仿宋" w:hAnsi="仿宋" w:eastAsia="仿宋"/>
                <w:color w:val="000000"/>
                <w:spacing w:val="13"/>
                <w:sz w:val="12"/>
                <w:szCs w:val="12"/>
              </w:rPr>
              <w:t>i</w:t>
            </w:r>
            <w:r>
              <w:rPr>
                <w:rFonts w:ascii="仿宋" w:hAnsi="仿宋" w:eastAsia="仿宋"/>
                <w:color w:val="000000"/>
                <w:spacing w:val="13"/>
                <w:sz w:val="12"/>
                <w:szCs w:val="12"/>
              </w:rPr>
              <w:t>)</w:t>
            </w:r>
            <w:r>
              <w:rPr>
                <w:rFonts w:hint="eastAsia" w:ascii="仿宋" w:hAnsi="仿宋" w:eastAsia="仿宋"/>
                <w:color w:val="000000"/>
                <w:spacing w:val="13"/>
                <w:sz w:val="12"/>
                <w:szCs w:val="12"/>
              </w:rPr>
              <w:t>在執行該指示時需取得任何批准，而本人/吾等未提供顯示該等批准已妥為取得的證據(且該等證據需為貴行所滿意接受)。本人/吾等將確保貴行不受因任何前述情況而產生或與前述有關的任何損失、成本或費用的損害。</w:t>
            </w:r>
          </w:p>
          <w:p>
            <w:pPr>
              <w:spacing w:after="0" w:line="240" w:lineRule="auto"/>
              <w:rPr>
                <w:color w:val="000000" w:themeColor="text1"/>
                <w:spacing w:val="3"/>
                <w:sz w:val="12"/>
                <w:szCs w:val="12"/>
                <w14:textFill>
                  <w14:solidFill>
                    <w14:schemeClr w14:val="tx1"/>
                  </w14:solidFill>
                </w14:textFill>
              </w:rPr>
            </w:pPr>
            <w:r>
              <w:rPr>
                <w:color w:val="000000" w:themeColor="text1"/>
                <w:spacing w:val="3"/>
                <w:sz w:val="12"/>
                <w:szCs w:val="12"/>
                <w14:textFill>
                  <w14:solidFill>
                    <w14:schemeClr w14:val="tx1"/>
                  </w14:solidFill>
                </w14:textFill>
              </w:rPr>
              <w:t>I/We confirm that we have read and agreed to be bound by the Terms and Conditions (as amended or supplemented from time to time) applicable to services of remittance of Industrial Bank Co., Ltd. Hong Kong Branch (the “Bank”) as provided, notified or announced by the Bank (whether by way of attaching to the Remittance Application Form or otherwise). I/We authorise the Bank to debit the above monies for the lawful purpose detailed above. I/We confirm that my/our instructions have been clearly, accurately and completely set out in this form before signing it.</w:t>
            </w:r>
          </w:p>
          <w:p>
            <w:pPr>
              <w:spacing w:after="0" w:line="240" w:lineRule="auto"/>
              <w:rPr>
                <w:rFonts w:ascii="仿宋" w:hAnsi="仿宋"/>
                <w:color w:val="000000"/>
                <w:spacing w:val="13"/>
                <w:sz w:val="12"/>
                <w:szCs w:val="12"/>
              </w:rPr>
            </w:pPr>
            <w:r>
              <w:rPr>
                <w:rFonts w:hint="eastAsia" w:ascii="仿宋" w:hAnsi="仿宋" w:eastAsia="仿宋"/>
                <w:color w:val="000000" w:themeColor="text1"/>
                <w:spacing w:val="13"/>
                <w:kern w:val="2"/>
                <w:sz w:val="12"/>
                <w:szCs w:val="12"/>
                <w14:textFill>
                  <w14:solidFill>
                    <w14:schemeClr w14:val="tx1"/>
                  </w14:solidFill>
                </w14:textFill>
              </w:rPr>
              <w:t>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確定已閱並同意受興業銀行股份有限公司香港分行（“貴行”）匯款服務所適用的條款及細則（不時修訂或補充）約束，該條款及細則由貴行提供、通知或公佈（不論該條款及細則是否隨匯款申請書附上）。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吾等授權貴行扣除以上金額之匯款用作以上詳述的合法用途。本人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吾等確認本人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吾等的指示已清楚，準確及完整地填妥本表格內才簽署作實。</w:t>
            </w:r>
          </w:p>
          <w:p>
            <w:pPr>
              <w:spacing w:after="0" w:line="240" w:lineRule="auto"/>
              <w:rPr>
                <w:rFonts w:ascii="仿宋" w:hAnsi="仿宋" w:eastAsia="宋体"/>
                <w:color w:val="000000"/>
                <w:spacing w:val="13"/>
                <w:sz w:val="13"/>
                <w:szCs w:val="13"/>
              </w:rPr>
            </w:pPr>
          </w:p>
          <w:p>
            <w:pPr>
              <w:spacing w:after="0" w:line="240" w:lineRule="auto"/>
              <w:rPr>
                <w:rFonts w:ascii="仿宋" w:hAnsi="仿宋" w:eastAsia="宋体"/>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r>
              <w:rPr>
                <w:rFonts w:cs="Times New Roman"/>
                <w:sz w:val="24"/>
                <w:szCs w:val="24"/>
                <w:lang w:eastAsia="zh-CN"/>
              </w:rPr>
              <mc:AlternateContent>
                <mc:Choice Requires="wpg">
                  <w:drawing>
                    <wp:anchor distT="0" distB="0" distL="114300" distR="114300" simplePos="0" relativeHeight="251659264" behindDoc="0" locked="0" layoutInCell="1" allowOverlap="1">
                      <wp:simplePos x="0" y="0"/>
                      <wp:positionH relativeFrom="column">
                        <wp:posOffset>6084570</wp:posOffset>
                      </wp:positionH>
                      <wp:positionV relativeFrom="paragraph">
                        <wp:posOffset>64135</wp:posOffset>
                      </wp:positionV>
                      <wp:extent cx="436880" cy="431165"/>
                      <wp:effectExtent l="0" t="0" r="20320" b="26035"/>
                      <wp:wrapNone/>
                      <wp:docPr id="2" name="群組 2"/>
                      <wp:cNvGraphicFramePr/>
                      <a:graphic xmlns:a="http://schemas.openxmlformats.org/drawingml/2006/main">
                        <a:graphicData uri="http://schemas.microsoft.com/office/word/2010/wordprocessingGroup">
                          <wpg:wgp>
                            <wpg:cNvGrpSpPr/>
                            <wpg:grpSpPr>
                              <a:xfrm>
                                <a:off x="0" y="0"/>
                                <a:ext cx="436880" cy="431165"/>
                                <a:chOff x="5186" y="13962"/>
                                <a:chExt cx="688" cy="679"/>
                              </a:xfrm>
                            </wpg:grpSpPr>
                            <wps:wsp>
                              <wps:cNvPr id="3" name="Oval 4"/>
                              <wps:cNvSpPr>
                                <a:spLocks noChangeArrowheads="1"/>
                              </wps:cNvSpPr>
                              <wps:spPr bwMode="auto">
                                <a:xfrm>
                                  <a:off x="5186" y="13962"/>
                                  <a:ext cx="688" cy="679"/>
                                </a:xfrm>
                                <a:prstGeom prst="ellipse">
                                  <a:avLst/>
                                </a:prstGeom>
                                <a:noFill/>
                                <a:ln w="9525">
                                  <a:solidFill>
                                    <a:srgbClr val="000000"/>
                                  </a:solidFill>
                                  <a:round/>
                                </a:ln>
                              </wps:spPr>
                              <wps:bodyPr rot="0" vert="horz" wrap="square" lIns="91440" tIns="45720" rIns="91440" bIns="45720" anchor="t" anchorCtr="0" upright="1">
                                <a:noAutofit/>
                              </wps:bodyPr>
                            </wps:wsp>
                            <wps:wsp>
                              <wps:cNvPr id="4" name="文字方塊 2"/>
                              <wps:cNvSpPr txBox="1">
                                <a:spLocks noChangeArrowheads="1"/>
                              </wps:cNvSpPr>
                              <wps:spPr bwMode="auto">
                                <a:xfrm>
                                  <a:off x="5259" y="14117"/>
                                  <a:ext cx="569" cy="409"/>
                                </a:xfrm>
                                <a:prstGeom prst="rect">
                                  <a:avLst/>
                                </a:prstGeom>
                                <a:noFill/>
                                <a:ln>
                                  <a:noFill/>
                                </a:ln>
                              </wps:spPr>
                              <wps:txbx>
                                <w:txbxContent>
                                  <w:p>
                                    <w:pPr>
                                      <w:spacing w:line="200" w:lineRule="exact"/>
                                      <w:jc w:val="center"/>
                                      <w:rPr>
                                        <w:sz w:val="24"/>
                                        <w:szCs w:val="24"/>
                                      </w:rPr>
                                    </w:pPr>
                                    <w:r>
                                      <w:rPr>
                                        <w:sz w:val="24"/>
                                        <w:szCs w:val="24"/>
                                        <w:vertAlign w:val="subscript"/>
                                      </w:rPr>
                                      <w:t>S.V.</w:t>
                                    </w:r>
                                  </w:p>
                                </w:txbxContent>
                              </wps:txbx>
                              <wps:bodyPr rot="0" vert="horz" wrap="square" lIns="91440" tIns="45720" rIns="91440" bIns="45720" anchor="t" anchorCtr="0" upright="1">
                                <a:noAutofit/>
                              </wps:bodyPr>
                            </wps:wsp>
                          </wpg:wgp>
                        </a:graphicData>
                      </a:graphic>
                    </wp:anchor>
                  </w:drawing>
                </mc:Choice>
                <mc:Fallback>
                  <w:pict>
                    <v:group id="群組 2" o:spid="_x0000_s1026" o:spt="203" style="position:absolute;left:0pt;margin-left:479.1pt;margin-top:5.05pt;height:33.95pt;width:34.4pt;z-index:251659264;mso-width-relative:page;mso-height-relative:page;" coordorigin="5186,13962" coordsize="688,679" o:gfxdata="UEsDBAoAAAAAAIdO4kAAAAAAAAAAAAAAAAAEAAAAZHJzL1BLAwQUAAAACACHTuJAh+md59kAAAAK&#10;AQAADwAAAGRycy9kb3ducmV2LnhtbE2PQUvDQBCF74L/YRnBm91NpDbGbIoU9VQEW0G8bbPTJDQ7&#10;G7LbpP33Tk/2OLyPN98rlifXiRGH0HrSkMwUCKTK25ZqDd/b94cMRIiGrOk8oYYzBliWtzeFya2f&#10;6AvHTawFl1DIjYYmxj6XMlQNOhNmvkfibO8HZyKfQy3tYCYud51MlXqSzrTEHxrT46rB6rA5Og0f&#10;k5leH5O3cX3Yr86/2/nnzzpBre/vEvUCIuIp/sNw0Wd1KNlp549kg+g0PM+zlFEOVALiAqh0wet2&#10;GhaZAlkW8npC+QdQSwMEFAAAAAgAh07iQMwMAW3XAgAAVAcAAA4AAABkcnMvZTJvRG9jLnhtbM2V&#10;zW4TMRDH70i8g+U73exmkyarbqrS0gqp0EqFB3C83g/htY3tZFPOSEg8QDkjceXIgQtv0/Y1GHuz&#10;SdMWCRVVIofN2uMZz/z8H+/O7qLmaM60qaRIcbjVw4gJKrNKFCl+++bw2QgjY4nICJeCpficGbw7&#10;efpkp1EJi2QpecY0giDCJI1KcWmtSoLA0JLVxGxJxQQYc6lrYmGoiyDTpIHoNQ+iXm8YNFJnSkvK&#10;jIHZg9aIJz5+njNqT/LcMIt4iiE365/aP6fuGUx2SFJoosqKLtMgD8iiJpWATVehDoglaKarO6Hq&#10;imppZG63qKwDmecVZb4GqCbs3armSMuZ8rUUSVOoFSZAe4vTg8PS1/NTjaosxRFGgtRwRNe/vl3/&#10;+Igix6ZRRQJLjrQ6U6d6OVG0I1fuIte1+4dC0MJTPV9RZQuLKEzG/eFoBOwpmOJ+GA4HLXVawtE4&#10;r0E4GmIE1rA/HvptSULLF0t3cG59h9tj5xh0uwYuuVUujQIBmTUj82+MzkqimEdvHIAlo37H6GRO&#10;OIpbQn6Bw+NAGHUs6TuDhNwviSjYntayKRnJIJ/Qp+8ShYitgxsYcEXT5pXMAD6ZWemFdIvsfYw6&#10;wH8kRBKljT1iskbuJcWM80oZVxdJyPzY2JZnt8pNC3lYcQ7zJOECNSkeD6KBdzCSV5kz+jp1Md3n&#10;GgEHOHD/Wx7OxjIQsMjaTbiAs+vqdcoyyVRm51C7lm1bwjUCL6XUHzBqoCVTbN7PiGYY8ZcC+I3D&#10;OHY97AfxYDuCgb5pmd60EEEhVIotRu3rvm37fqZ0VZSwU+jLEnIPmOeVZ7HOapksSKrN9dG1FXfa&#10;urr4dPn9y9XFz8uvn7suXEkG2cVzCT3T5v5oaosG47Yj4zDcdgdLkk5tgyGYfC/3Nvvxjto03L5/&#10;LbUN7UGP3yMXu5guIJX1Gf3/yvF3FFzd/tpafmbct+Hm2Ctt/TG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H6Z3n2QAAAAoBAAAPAAAAAAAAAAEAIAAAACIAAABkcnMvZG93bnJldi54bWxQSwEC&#10;FAAUAAAACACHTuJAzAwBbdcCAABUBwAADgAAAAAAAAABACAAAAAoAQAAZHJzL2Uyb0RvYy54bWxQ&#10;SwUGAAAAAAYABgBZAQAAcQYAAAAA&#10;">
                      <o:lock v:ext="edit" aspectratio="f"/>
                      <v:shape id="Oval 4" o:spid="_x0000_s1026" o:spt="3" type="#_x0000_t3" style="position:absolute;left:5186;top:13962;height:679;width:688;" filled="f" stroked="t" coordsize="21600,21600" o:gfxdata="UEsDBAoAAAAAAIdO4kAAAAAAAAAAAAAAAAAEAAAAZHJzL1BLAwQUAAAACACHTuJAmPukhbwAAADa&#10;AAAADwAAAGRycy9kb3ducmV2LnhtbEWPQWsCMRSE74L/ITyhF9GsVoqsRg+C0INQtf6A5+aZXd28&#10;rEnqbv99UxA8DjPzDbNcd7YWD/KhcqxgMs5AEBdOV2wUnL63ozmIEJE11o5JwS8FWK/6vSXm2rV8&#10;oMcxGpEgHHJUUMbY5FKGoiSLYewa4uRdnLcYk/RGao9tgttaTrPsQ1qsOC2U2NCmpOJ2/LEKzueT&#10;6+Tdf+2H5uZxdm0bs9sr9TaYZAsQkbr4Cj/bn1rBO/xfST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7pIW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文字方塊 2" o:spid="_x0000_s1026" o:spt="202" type="#_x0000_t202" style="position:absolute;left:5259;top:14117;height:409;width:569;"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00" w:lineRule="exact"/>
                                <w:jc w:val="center"/>
                                <w:rPr>
                                  <w:sz w:val="24"/>
                                  <w:szCs w:val="24"/>
                                </w:rPr>
                              </w:pPr>
                              <w:r>
                                <w:rPr>
                                  <w:sz w:val="24"/>
                                  <w:szCs w:val="24"/>
                                  <w:vertAlign w:val="subscript"/>
                                </w:rPr>
                                <w:t>S.V.</w:t>
                              </w:r>
                            </w:p>
                          </w:txbxContent>
                        </v:textbox>
                      </v:shape>
                    </v:group>
                  </w:pict>
                </mc:Fallback>
              </mc:AlternateContent>
            </w: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color w:val="000000"/>
                <w:spacing w:val="3"/>
                <w:szCs w:val="16"/>
              </w:rPr>
            </w:pPr>
            <w:r>
              <w:rPr>
                <w:color w:val="000000"/>
                <w:spacing w:val="3"/>
                <w:szCs w:val="16"/>
              </w:rPr>
              <w:t>Customer Signature(s)</w:t>
            </w:r>
            <w:r>
              <w:rPr>
                <w:rFonts w:ascii="仿宋" w:hAnsi="仿宋"/>
                <w:color w:val="000000"/>
                <w:spacing w:val="13"/>
                <w:szCs w:val="16"/>
              </w:rPr>
              <w:t xml:space="preserve"> </w:t>
            </w:r>
            <w:r>
              <w:rPr>
                <w:rFonts w:hint="eastAsia" w:ascii="仿宋" w:hAnsi="仿宋" w:eastAsia="仿宋"/>
                <w:color w:val="000000"/>
                <w:spacing w:val="13"/>
                <w:szCs w:val="16"/>
              </w:rPr>
              <w:t>客戶簽名: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1482" w:type="dxa"/>
            <w:gridSpan w:val="24"/>
            <w:shd w:val="clear" w:color="auto" w:fill="D8D8D8" w:themeFill="background1" w:themeFillShade="D9"/>
          </w:tcPr>
          <w:p>
            <w:pPr>
              <w:spacing w:after="0" w:line="240" w:lineRule="auto"/>
              <w:rPr>
                <w:color w:val="000000"/>
                <w:spacing w:val="16"/>
              </w:rPr>
            </w:pPr>
            <w:r>
              <w:rPr>
                <w:rFonts w:hint="eastAsia"/>
                <w:color w:val="000000"/>
                <w:spacing w:val="3"/>
              </w:rPr>
              <w:t>For Bank Use Only</w:t>
            </w:r>
            <w:r>
              <w:rPr>
                <w:rFonts w:hint="eastAsia"/>
                <w:color w:val="000000"/>
                <w:spacing w:val="16"/>
              </w:rPr>
              <w:t xml:space="preserve"> </w:t>
            </w:r>
            <w:r>
              <w:rPr>
                <w:rFonts w:hint="eastAsia" w:ascii="仿宋" w:hAnsi="仿宋" w:eastAsia="仿宋"/>
                <w:color w:val="000000"/>
                <w:spacing w:val="13"/>
              </w:rPr>
              <w:t>銀行專用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508" w:type="dxa"/>
            <w:gridSpan w:val="4"/>
            <w:vMerge w:val="restart"/>
            <w:tcBorders>
              <w:left w:val="single" w:color="auto" w:sz="4" w:space="0"/>
            </w:tcBorders>
          </w:tcPr>
          <w:p>
            <w:pPr>
              <w:spacing w:after="0" w:line="240" w:lineRule="auto"/>
              <w:rPr>
                <w:color w:val="000000"/>
                <w:spacing w:val="16"/>
              </w:rPr>
            </w:pPr>
            <w:r>
              <w:rPr>
                <w:color w:val="000000"/>
                <w:spacing w:val="3"/>
              </w:rPr>
              <w:t>Prepared By</w:t>
            </w:r>
          </w:p>
        </w:tc>
        <w:tc>
          <w:tcPr>
            <w:tcW w:w="2613" w:type="dxa"/>
            <w:gridSpan w:val="5"/>
            <w:vMerge w:val="restart"/>
            <w:tcBorders>
              <w:left w:val="single" w:color="auto" w:sz="4" w:space="0"/>
            </w:tcBorders>
          </w:tcPr>
          <w:p>
            <w:pPr>
              <w:spacing w:after="0" w:line="240" w:lineRule="auto"/>
              <w:rPr>
                <w:color w:val="000000"/>
                <w:spacing w:val="16"/>
              </w:rPr>
            </w:pPr>
            <w:r>
              <w:rPr>
                <w:color w:val="000000"/>
                <w:spacing w:val="3"/>
              </w:rPr>
              <w:t>Checked By</w:t>
            </w:r>
          </w:p>
        </w:tc>
        <w:tc>
          <w:tcPr>
            <w:tcW w:w="2749" w:type="dxa"/>
            <w:gridSpan w:val="9"/>
            <w:vMerge w:val="restart"/>
          </w:tcPr>
          <w:p>
            <w:pPr>
              <w:spacing w:after="0" w:line="240" w:lineRule="auto"/>
              <w:rPr>
                <w:color w:val="000000"/>
                <w:spacing w:val="16"/>
              </w:rPr>
            </w:pPr>
            <w:r>
              <w:rPr>
                <w:color w:val="000000"/>
                <w:spacing w:val="3"/>
              </w:rPr>
              <w:t>Approved by</w:t>
            </w:r>
          </w:p>
        </w:tc>
        <w:tc>
          <w:tcPr>
            <w:tcW w:w="3612" w:type="dxa"/>
            <w:gridSpan w:val="6"/>
          </w:tcPr>
          <w:p>
            <w:pPr>
              <w:spacing w:after="0" w:line="240" w:lineRule="auto"/>
              <w:rPr>
                <w:color w:val="000000"/>
                <w:spacing w:val="3"/>
              </w:rPr>
            </w:pPr>
            <w:r>
              <w:rPr>
                <w:color w:val="000000"/>
                <w:spacing w:val="3"/>
              </w:rPr>
              <w:t>TC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508" w:type="dxa"/>
            <w:gridSpan w:val="4"/>
            <w:vMerge w:val="continue"/>
            <w:tcBorders>
              <w:left w:val="single" w:color="auto" w:sz="4" w:space="0"/>
            </w:tcBorders>
          </w:tcPr>
          <w:p>
            <w:pPr>
              <w:spacing w:after="0" w:line="240" w:lineRule="auto"/>
              <w:rPr>
                <w:color w:val="000000"/>
                <w:spacing w:val="3"/>
              </w:rPr>
            </w:pPr>
          </w:p>
        </w:tc>
        <w:tc>
          <w:tcPr>
            <w:tcW w:w="2613" w:type="dxa"/>
            <w:gridSpan w:val="5"/>
            <w:vMerge w:val="continue"/>
            <w:tcBorders>
              <w:left w:val="single" w:color="auto" w:sz="4" w:space="0"/>
            </w:tcBorders>
          </w:tcPr>
          <w:p>
            <w:pPr>
              <w:spacing w:after="0" w:line="240" w:lineRule="auto"/>
              <w:rPr>
                <w:color w:val="000000"/>
                <w:spacing w:val="3"/>
              </w:rPr>
            </w:pPr>
          </w:p>
        </w:tc>
        <w:tc>
          <w:tcPr>
            <w:tcW w:w="2749" w:type="dxa"/>
            <w:gridSpan w:val="9"/>
            <w:vMerge w:val="continue"/>
          </w:tcPr>
          <w:p>
            <w:pPr>
              <w:spacing w:after="0" w:line="240" w:lineRule="auto"/>
              <w:rPr>
                <w:color w:val="000000"/>
                <w:spacing w:val="3"/>
              </w:rPr>
            </w:pPr>
          </w:p>
        </w:tc>
        <w:tc>
          <w:tcPr>
            <w:tcW w:w="3612" w:type="dxa"/>
            <w:gridSpan w:val="6"/>
          </w:tcPr>
          <w:p>
            <w:pPr>
              <w:spacing w:after="0" w:line="240" w:lineRule="auto"/>
              <w:rPr>
                <w:color w:val="000000"/>
                <w:spacing w:val="3"/>
              </w:rPr>
            </w:pPr>
            <w:r>
              <w:rPr>
                <w:color w:val="000000"/>
                <w:spacing w:val="3"/>
              </w:rPr>
              <w:t>Date and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508" w:type="dxa"/>
            <w:gridSpan w:val="4"/>
            <w:vMerge w:val="continue"/>
            <w:tcBorders>
              <w:left w:val="single" w:color="auto" w:sz="4" w:space="0"/>
            </w:tcBorders>
          </w:tcPr>
          <w:p>
            <w:pPr>
              <w:spacing w:after="0" w:line="240" w:lineRule="auto"/>
              <w:rPr>
                <w:color w:val="000000"/>
                <w:spacing w:val="3"/>
              </w:rPr>
            </w:pPr>
          </w:p>
        </w:tc>
        <w:tc>
          <w:tcPr>
            <w:tcW w:w="2613" w:type="dxa"/>
            <w:gridSpan w:val="5"/>
            <w:vMerge w:val="continue"/>
            <w:tcBorders>
              <w:left w:val="single" w:color="auto" w:sz="4" w:space="0"/>
            </w:tcBorders>
          </w:tcPr>
          <w:p>
            <w:pPr>
              <w:spacing w:after="0" w:line="240" w:lineRule="auto"/>
              <w:rPr>
                <w:color w:val="000000"/>
                <w:spacing w:val="3"/>
              </w:rPr>
            </w:pPr>
          </w:p>
        </w:tc>
        <w:tc>
          <w:tcPr>
            <w:tcW w:w="2749" w:type="dxa"/>
            <w:gridSpan w:val="9"/>
            <w:vMerge w:val="continue"/>
          </w:tcPr>
          <w:p>
            <w:pPr>
              <w:spacing w:after="0" w:line="240" w:lineRule="auto"/>
              <w:rPr>
                <w:color w:val="000000"/>
                <w:spacing w:val="3"/>
              </w:rPr>
            </w:pPr>
          </w:p>
        </w:tc>
        <w:tc>
          <w:tcPr>
            <w:tcW w:w="3612" w:type="dxa"/>
            <w:gridSpan w:val="6"/>
          </w:tcPr>
          <w:p>
            <w:pPr>
              <w:spacing w:after="0" w:line="240" w:lineRule="auto"/>
              <w:rPr>
                <w:color w:val="000000"/>
                <w:spacing w:val="3"/>
              </w:rPr>
            </w:pPr>
            <w:r>
              <w:rPr>
                <w:color w:val="000000"/>
                <w:spacing w:val="3"/>
              </w:rPr>
              <w:t>Contact Person:</w:t>
            </w:r>
          </w:p>
        </w:tc>
      </w:tr>
    </w:tbl>
    <w:p>
      <w:pPr>
        <w:tabs>
          <w:tab w:val="left" w:pos="360"/>
        </w:tabs>
        <w:rPr>
          <w:szCs w:val="16"/>
        </w:rPr>
      </w:pPr>
      <w:r>
        <w:rPr>
          <w:szCs w:val="16"/>
        </w:rPr>
        <w:t xml:space="preserve">        CIBHK-OP-008 (</w:t>
      </w:r>
      <w:r>
        <w:rPr>
          <w:rFonts w:hint="eastAsia" w:eastAsia="宋体"/>
          <w:szCs w:val="16"/>
          <w:lang w:eastAsia="zh-CN"/>
        </w:rPr>
        <w:t>03</w:t>
      </w:r>
      <w:r>
        <w:rPr>
          <w:rFonts w:eastAsia="宋体"/>
          <w:szCs w:val="16"/>
          <w:lang w:eastAsia="zh-CN"/>
        </w:rPr>
        <w:t>-</w:t>
      </w:r>
      <w:r>
        <w:rPr>
          <w:rFonts w:hint="eastAsia" w:eastAsia="宋体"/>
          <w:szCs w:val="16"/>
          <w:lang w:eastAsia="zh-CN"/>
        </w:rPr>
        <w:t>21</w:t>
      </w:r>
      <w:r>
        <w:rPr>
          <w:szCs w:val="16"/>
        </w:rPr>
        <w:t xml:space="preserve">)  </w:t>
      </w:r>
      <w:r>
        <w:rPr>
          <w:szCs w:val="16"/>
        </w:rPr>
        <w:tab/>
      </w:r>
      <w:r>
        <w:rPr>
          <w:szCs w:val="16"/>
        </w:rPr>
        <w:tab/>
      </w:r>
      <w:r>
        <w:rPr>
          <w:szCs w:val="16"/>
        </w:rPr>
        <w:tab/>
      </w:r>
      <w:r>
        <w:rPr>
          <w:szCs w:val="16"/>
        </w:rPr>
        <w:tab/>
      </w:r>
      <w:r>
        <w:rPr>
          <w:szCs w:val="16"/>
        </w:rPr>
        <w:tab/>
      </w:r>
      <w:r>
        <w:rPr>
          <w:szCs w:val="16"/>
        </w:rPr>
        <w:t xml:space="preserve">          Industrial Bank Co., Ltd (A joint stock company incorporated in P.R.C with limited liability)</w:t>
      </w:r>
    </w:p>
    <w:p>
      <w:pPr>
        <w:pStyle w:val="11"/>
        <w:pBdr>
          <w:bottom w:val="single" w:color="auto" w:sz="12" w:space="1"/>
        </w:pBdr>
        <w:contextualSpacing/>
        <w:jc w:val="center"/>
        <w:rPr>
          <w:sz w:val="16"/>
          <w:szCs w:val="16"/>
        </w:rPr>
      </w:pPr>
      <w:r>
        <w:rPr>
          <w:sz w:val="16"/>
          <w:szCs w:val="16"/>
        </w:rPr>
        <w:t>Conditions</w:t>
      </w:r>
    </w:p>
    <w:p>
      <w:pPr>
        <w:pStyle w:val="11"/>
        <w:contextualSpacing/>
        <w:jc w:val="center"/>
        <w:rPr>
          <w:sz w:val="11"/>
          <w:szCs w:val="11"/>
        </w:rPr>
      </w:pPr>
    </w:p>
    <w:p>
      <w:pPr>
        <w:pStyle w:val="11"/>
        <w:contextualSpacing/>
        <w:rPr>
          <w:sz w:val="11"/>
          <w:szCs w:val="11"/>
        </w:rPr>
      </w:pPr>
      <w:r>
        <w:rPr>
          <w:sz w:val="11"/>
          <w:szCs w:val="11"/>
        </w:rPr>
        <w:t>Please read and understand these Conditions:-</w:t>
      </w:r>
    </w:p>
    <w:p>
      <w:pPr>
        <w:pStyle w:val="11"/>
        <w:contextualSpacing/>
        <w:rPr>
          <w:sz w:val="11"/>
          <w:szCs w:val="11"/>
        </w:rPr>
      </w:pPr>
    </w:p>
    <w:p>
      <w:pPr>
        <w:pStyle w:val="11"/>
        <w:numPr>
          <w:ilvl w:val="0"/>
          <w:numId w:val="1"/>
        </w:numPr>
        <w:contextualSpacing/>
        <w:rPr>
          <w:sz w:val="11"/>
          <w:szCs w:val="11"/>
        </w:rPr>
      </w:pPr>
      <w:r>
        <w:rPr>
          <w:sz w:val="11"/>
          <w:szCs w:val="11"/>
        </w:rPr>
        <w:t>The bank shall not liable for any loss or damage due to omission or delay in sending any message relating to this remittance or in payment or in giving advice of payment; loss of any items or any messages or signals in transit or transmission or otherwise; mutilation, error, omission, interruption or delay in transmission or delivery of any item, message, signals, letter, telegram or cable; or any action or omission of correspondents, sub-agent, other agency or any other party involved in The Clearing House Automated Transfer System (if applicable); or declared or undeclared war; censorship; blockade; insurrection; civil commotion; or any law, decree, regulation, control, restriction or other act of a domestic or foreign government or other group or groups exercising governmental powers, whether de jure or de facto; or breakdown or mal-function in or of any computer, mechanical or electronic  instruments, apparatus or device; or any act or event beyond the Bank’s control.</w:t>
      </w:r>
    </w:p>
    <w:p>
      <w:pPr>
        <w:pStyle w:val="11"/>
        <w:numPr>
          <w:ilvl w:val="0"/>
          <w:numId w:val="1"/>
        </w:numPr>
        <w:contextualSpacing/>
        <w:rPr>
          <w:sz w:val="11"/>
          <w:szCs w:val="11"/>
        </w:rPr>
      </w:pPr>
      <w:r>
        <w:rPr>
          <w:sz w:val="11"/>
          <w:szCs w:val="11"/>
        </w:rPr>
        <w:t>The Bank may send message(s) relating to the remittance either in words or in cipher and shall not be liable for any loss, delay, error, omission or mutilation which may occur in the transmission of the message or for any misrepresentation of the message, or any part thereof, by any of the Bank’s correspondents, or any delay, error caused by the payment or remittance system of the correspondents’ country. In any event and to the greatest extent permitted by applicable laws, the Bank shall not be liable for any loss of profit or loss under any contract or any special, indirect or subsequent loss.</w:t>
      </w:r>
    </w:p>
    <w:p>
      <w:pPr>
        <w:pStyle w:val="11"/>
        <w:numPr>
          <w:ilvl w:val="0"/>
          <w:numId w:val="1"/>
        </w:numPr>
        <w:contextualSpacing/>
        <w:rPr>
          <w:sz w:val="11"/>
          <w:szCs w:val="11"/>
        </w:rPr>
      </w:pPr>
      <w:r>
        <w:rPr>
          <w:sz w:val="11"/>
          <w:szCs w:val="11"/>
        </w:rPr>
        <w:t>The Bank may, under circumstances determined by the Bank, require the remitter or any of the authorised signatories or authorised persons to confirm the application by means of telephone before acting on the same. The Bank may refuse to act on the application in the absence of such confirmation (in which event the Bank shall have the absolute discretion to determine the disposal of the relevant application), without responsibility or liability on the Bank’s part for any such refusal or delay in acting as a result.</w:t>
      </w:r>
    </w:p>
    <w:p>
      <w:pPr>
        <w:pStyle w:val="11"/>
        <w:numPr>
          <w:ilvl w:val="0"/>
          <w:numId w:val="1"/>
        </w:numPr>
        <w:contextualSpacing/>
        <w:rPr>
          <w:sz w:val="11"/>
          <w:szCs w:val="11"/>
        </w:rPr>
      </w:pPr>
      <w:r>
        <w:rPr>
          <w:sz w:val="11"/>
          <w:szCs w:val="11"/>
        </w:rPr>
        <w:t>The application shall be subject to acceptance by the Bank at its absolute discretion and the Bank reserves the right not to process any remittance if the Bank is of the opinion that the information given is incomplete or is not sufficiently clear. The Bank shall not be liable for any delay in processing any remittance or for its decision in not processing the same where any information given is, in the opinion of the Bank, incomplete or is not sufficiently clear.</w:t>
      </w:r>
    </w:p>
    <w:p>
      <w:pPr>
        <w:pStyle w:val="11"/>
        <w:numPr>
          <w:ilvl w:val="0"/>
          <w:numId w:val="1"/>
        </w:numPr>
        <w:contextualSpacing/>
        <w:rPr>
          <w:sz w:val="11"/>
          <w:szCs w:val="11"/>
        </w:rPr>
      </w:pPr>
      <w:r>
        <w:rPr>
          <w:sz w:val="11"/>
          <w:szCs w:val="11"/>
        </w:rPr>
        <w:t>The application for remittance, once accepted by the Bank, may not be cancelled without the Bank’s written consent. In considering whether to accept any request by the remitter for cancellation of remittance the Bank may take into account, inter alia, whether it has received satisfactory confirmation from its correspondents that the remittance has been duly withheld and cancelled. If the Bank agrees to cancel the remittance, such agreement will always be subject to the applicable conditions as the Bank may impose from time to time.</w:t>
      </w:r>
    </w:p>
    <w:p>
      <w:pPr>
        <w:pStyle w:val="11"/>
        <w:numPr>
          <w:ilvl w:val="0"/>
          <w:numId w:val="1"/>
        </w:numPr>
        <w:contextualSpacing/>
        <w:rPr>
          <w:sz w:val="11"/>
          <w:szCs w:val="11"/>
        </w:rPr>
      </w:pPr>
      <w:r>
        <w:rPr>
          <w:sz w:val="11"/>
          <w:szCs w:val="11"/>
        </w:rPr>
        <w:t>Subject to Condition 3 above, in the absence of specific instructions, the remittance will be effected in the currency of the country to which the payment is to be made.</w:t>
      </w:r>
    </w:p>
    <w:p>
      <w:pPr>
        <w:pStyle w:val="11"/>
        <w:numPr>
          <w:ilvl w:val="0"/>
          <w:numId w:val="1"/>
        </w:numPr>
        <w:contextualSpacing/>
        <w:rPr>
          <w:sz w:val="11"/>
          <w:szCs w:val="11"/>
        </w:rPr>
      </w:pPr>
      <w:r>
        <w:rPr>
          <w:sz w:val="11"/>
          <w:szCs w:val="11"/>
        </w:rPr>
        <w:t>All charges/commission outside Hong Kong are for the beneficiary’s account and deducted from the proceeds of the remittance unless specified otherwise. If so specified for the remitter’s account, such charges/commission shall be charged in accordance with the Bank’s prevailing charge tariff schedule but whether the beneficiary can receive the full amount of the remittance will depend on the practice adopted by the Bank’s correspondent and/or beneficiary bank involved. The Bank is entitled to reimbursement from the remitter for the expenses of the Bank, its correspondents and agents. Additional overseas charges (including charges levied by the beneficiary bank and or the Bank’s correspondent) may be imposed by some overseas banks. These charges may be deducted from the remittance amount depending on the practice of such banks and the beneficiary may as a result not be able to receive the full amount of remittance, regardless of the remitter’s payment instruction stated overleaf or otherwise.</w:t>
      </w:r>
    </w:p>
    <w:p>
      <w:pPr>
        <w:pStyle w:val="11"/>
        <w:numPr>
          <w:ilvl w:val="0"/>
          <w:numId w:val="1"/>
        </w:numPr>
        <w:contextualSpacing/>
        <w:rPr>
          <w:sz w:val="11"/>
          <w:szCs w:val="11"/>
        </w:rPr>
      </w:pPr>
      <w:r>
        <w:rPr>
          <w:sz w:val="11"/>
          <w:szCs w:val="11"/>
        </w:rPr>
        <w:t>The Bank reserves the right to send a remittance from a different place (other than the one specified by the remitter) if operational circumstances so require.</w:t>
      </w:r>
    </w:p>
    <w:p>
      <w:pPr>
        <w:pStyle w:val="11"/>
        <w:numPr>
          <w:ilvl w:val="0"/>
          <w:numId w:val="1"/>
        </w:numPr>
        <w:contextualSpacing/>
        <w:rPr>
          <w:sz w:val="11"/>
          <w:szCs w:val="11"/>
        </w:rPr>
      </w:pPr>
      <w:r>
        <w:rPr>
          <w:sz w:val="11"/>
          <w:szCs w:val="11"/>
        </w:rPr>
        <w:t>The Bank is not responsible to advise the remitter of (i) any exchange control or other restriction which may be imposed by the laws or regulations of the country where payment of the remittance is to be effected (the Bank shall not be liable for any loss or delay arising from or in connection with such exchange control or restriction. The remitter is advised to make his/her own enquiries about any exchange control or restriction); or (ii) any charges which may be imposed by the Bank’s correspondents.</w:t>
      </w:r>
    </w:p>
    <w:p>
      <w:pPr>
        <w:pStyle w:val="11"/>
        <w:numPr>
          <w:ilvl w:val="0"/>
          <w:numId w:val="1"/>
        </w:numPr>
        <w:contextualSpacing/>
        <w:rPr>
          <w:sz w:val="11"/>
          <w:szCs w:val="11"/>
        </w:rPr>
      </w:pPr>
      <w:r>
        <w:rPr>
          <w:sz w:val="11"/>
          <w:szCs w:val="11"/>
        </w:rPr>
        <w:t>Subject to Condition 3 above, the Bank will use reasonable endeavours to process applications received by the Bank on or before the next working day (a day (other than a Saturday or Sunday) on which banks are opened for general business in Hong Kong).</w:t>
      </w:r>
    </w:p>
    <w:p>
      <w:pPr>
        <w:pStyle w:val="11"/>
        <w:numPr>
          <w:ilvl w:val="0"/>
          <w:numId w:val="1"/>
        </w:numPr>
        <w:contextualSpacing/>
        <w:rPr>
          <w:sz w:val="11"/>
          <w:szCs w:val="11"/>
        </w:rPr>
      </w:pPr>
      <w:r>
        <w:rPr>
          <w:rFonts w:hint="eastAsia"/>
          <w:sz w:val="11"/>
          <w:szCs w:val="11"/>
        </w:rPr>
        <w:t xml:space="preserve">If payment of remittance is to be completed on a particular date, the remitter shall state such date as the value date on this application form overleaf, provided always that the Bank shall have the sole and unfettered discretion whether to </w:t>
      </w:r>
      <w:r>
        <w:rPr>
          <w:sz w:val="11"/>
          <w:szCs w:val="11"/>
        </w:rPr>
        <w:t>accept</w:t>
      </w:r>
      <w:r>
        <w:rPr>
          <w:rFonts w:hint="eastAsia"/>
          <w:sz w:val="11"/>
          <w:szCs w:val="11"/>
        </w:rPr>
        <w:t xml:space="preserve"> any application with a stated value date and if it so accepts, the Bank shall not be liable for any loss or damage incurred by the remitter and/or beneficiary and/or any other party if the payment is not received by the beneficiary or the beneficiary</w:t>
      </w:r>
      <w:r>
        <w:rPr>
          <w:sz w:val="11"/>
          <w:szCs w:val="11"/>
        </w:rPr>
        <w:t>’</w:t>
      </w:r>
      <w:r>
        <w:rPr>
          <w:rFonts w:hint="eastAsia"/>
          <w:sz w:val="11"/>
          <w:szCs w:val="11"/>
        </w:rPr>
        <w:t xml:space="preserve">s bank on the </w:t>
      </w:r>
      <w:r>
        <w:rPr>
          <w:sz w:val="11"/>
          <w:szCs w:val="11"/>
        </w:rPr>
        <w:t>stated</w:t>
      </w:r>
      <w:r>
        <w:rPr>
          <w:rFonts w:hint="eastAsia"/>
          <w:sz w:val="11"/>
          <w:szCs w:val="11"/>
        </w:rPr>
        <w:t xml:space="preserve"> value date by reason of any event or cause beyond the </w:t>
      </w:r>
      <w:r>
        <w:rPr>
          <w:sz w:val="11"/>
          <w:szCs w:val="11"/>
        </w:rPr>
        <w:t>control</w:t>
      </w:r>
      <w:r>
        <w:rPr>
          <w:rFonts w:hint="eastAsia"/>
          <w:sz w:val="11"/>
          <w:szCs w:val="11"/>
        </w:rPr>
        <w:t xml:space="preserve"> of the Bank or any to the Bank</w:t>
      </w:r>
      <w:r>
        <w:rPr>
          <w:sz w:val="11"/>
          <w:szCs w:val="11"/>
        </w:rPr>
        <w:t>’</w:t>
      </w:r>
      <w:r>
        <w:rPr>
          <w:rFonts w:hint="eastAsia"/>
          <w:sz w:val="11"/>
          <w:szCs w:val="11"/>
        </w:rPr>
        <w:t>s correspondents nor shall the Bank be responsible as to when the beneficiary</w:t>
      </w:r>
      <w:r>
        <w:rPr>
          <w:sz w:val="11"/>
          <w:szCs w:val="11"/>
        </w:rPr>
        <w:t>’</w:t>
      </w:r>
      <w:r>
        <w:rPr>
          <w:rFonts w:hint="eastAsia"/>
          <w:sz w:val="11"/>
          <w:szCs w:val="11"/>
        </w:rPr>
        <w:t xml:space="preserve">s bank pays the beneficiary, or if it fails to do so, to recover payment from it. In particular, if the value date is stated as the same day on which the application is accepted or deemed to be </w:t>
      </w:r>
      <w:r>
        <w:rPr>
          <w:sz w:val="11"/>
          <w:szCs w:val="11"/>
        </w:rPr>
        <w:t>accepted</w:t>
      </w:r>
      <w:r>
        <w:rPr>
          <w:rFonts w:hint="eastAsia"/>
          <w:sz w:val="11"/>
          <w:szCs w:val="11"/>
        </w:rPr>
        <w:t>, the Bank will not warrant that the beneficiary</w:t>
      </w:r>
      <w:r>
        <w:rPr>
          <w:sz w:val="11"/>
          <w:szCs w:val="11"/>
        </w:rPr>
        <w:t>’</w:t>
      </w:r>
      <w:r>
        <w:rPr>
          <w:rFonts w:hint="eastAsia"/>
          <w:sz w:val="11"/>
          <w:szCs w:val="11"/>
        </w:rPr>
        <w:t xml:space="preserve">s bank or the beneficiary will receive the </w:t>
      </w:r>
      <w:r>
        <w:rPr>
          <w:sz w:val="11"/>
          <w:szCs w:val="11"/>
        </w:rPr>
        <w:t>remittance</w:t>
      </w:r>
      <w:r>
        <w:rPr>
          <w:rFonts w:hint="eastAsia"/>
          <w:sz w:val="11"/>
          <w:szCs w:val="11"/>
        </w:rPr>
        <w:t xml:space="preserve"> on the same day of the date of acceptance or deemed acceptance of </w:t>
      </w:r>
      <w:r>
        <w:rPr>
          <w:sz w:val="11"/>
          <w:szCs w:val="11"/>
        </w:rPr>
        <w:t>the</w:t>
      </w:r>
      <w:r>
        <w:rPr>
          <w:rFonts w:hint="eastAsia"/>
          <w:sz w:val="11"/>
          <w:szCs w:val="11"/>
        </w:rPr>
        <w:t xml:space="preserve"> application as the remittance will be subject to, inter alia, the cut-off time relating to the geographical location of destination of the remittance.</w:t>
      </w:r>
    </w:p>
    <w:p>
      <w:pPr>
        <w:pStyle w:val="11"/>
        <w:numPr>
          <w:ilvl w:val="0"/>
          <w:numId w:val="1"/>
        </w:numPr>
        <w:contextualSpacing/>
        <w:rPr>
          <w:sz w:val="11"/>
          <w:szCs w:val="11"/>
        </w:rPr>
      </w:pPr>
      <w:r>
        <w:rPr>
          <w:rFonts w:hint="eastAsia"/>
          <w:sz w:val="11"/>
          <w:szCs w:val="11"/>
        </w:rPr>
        <w:t>If a refund of the remittance amount is desired from the Bank by the remitter, the Bank shall, at its discretion, make the payment to the remitter at the prevailing buying rate for the relevant currency less all charges and expenses.</w:t>
      </w:r>
    </w:p>
    <w:p>
      <w:pPr>
        <w:pStyle w:val="11"/>
        <w:numPr>
          <w:ilvl w:val="0"/>
          <w:numId w:val="1"/>
        </w:numPr>
        <w:contextualSpacing/>
        <w:rPr>
          <w:sz w:val="11"/>
          <w:szCs w:val="11"/>
        </w:rPr>
      </w:pPr>
      <w:r>
        <w:rPr>
          <w:rFonts w:hint="eastAsia"/>
          <w:sz w:val="11"/>
          <w:szCs w:val="11"/>
        </w:rPr>
        <w:t xml:space="preserve">The Bank is entitled to collect from the remitter all remittance charges and other charges </w:t>
      </w:r>
      <w:r>
        <w:rPr>
          <w:sz w:val="11"/>
          <w:szCs w:val="11"/>
        </w:rPr>
        <w:t>including</w:t>
      </w:r>
      <w:r>
        <w:rPr>
          <w:rFonts w:hint="eastAsia"/>
          <w:sz w:val="11"/>
          <w:szCs w:val="11"/>
        </w:rPr>
        <w:t xml:space="preserve"> th</w:t>
      </w:r>
      <w:r>
        <w:rPr>
          <w:sz w:val="11"/>
          <w:szCs w:val="11"/>
        </w:rPr>
        <w:t>o</w:t>
      </w:r>
      <w:r>
        <w:rPr>
          <w:rFonts w:hint="eastAsia"/>
          <w:sz w:val="11"/>
          <w:szCs w:val="11"/>
        </w:rPr>
        <w:t>se collected or to be collected by the Bank</w:t>
      </w:r>
      <w:r>
        <w:rPr>
          <w:sz w:val="11"/>
          <w:szCs w:val="11"/>
        </w:rPr>
        <w:t>’</w:t>
      </w:r>
      <w:r>
        <w:rPr>
          <w:rFonts w:hint="eastAsia"/>
          <w:sz w:val="11"/>
          <w:szCs w:val="11"/>
        </w:rPr>
        <w:t>s correspondent(s), agent(s) or sub-agent(s) in connection with carrying out the instructions in accordance with the Bank</w:t>
      </w:r>
      <w:r>
        <w:rPr>
          <w:sz w:val="11"/>
          <w:szCs w:val="11"/>
        </w:rPr>
        <w:t>’</w:t>
      </w:r>
      <w:r>
        <w:rPr>
          <w:rFonts w:hint="eastAsia"/>
          <w:sz w:val="11"/>
          <w:szCs w:val="11"/>
        </w:rPr>
        <w:t>s prevailing charge tariff schedule.</w:t>
      </w:r>
    </w:p>
    <w:p>
      <w:pPr>
        <w:pStyle w:val="11"/>
        <w:numPr>
          <w:ilvl w:val="0"/>
          <w:numId w:val="1"/>
        </w:numPr>
        <w:contextualSpacing/>
        <w:rPr>
          <w:sz w:val="11"/>
          <w:szCs w:val="11"/>
        </w:rPr>
      </w:pPr>
      <w:r>
        <w:rPr>
          <w:rFonts w:hint="eastAsia"/>
          <w:sz w:val="11"/>
          <w:szCs w:val="11"/>
        </w:rPr>
        <w:t>The Bank reserves the right to revise all remittance charges and th</w:t>
      </w:r>
      <w:r>
        <w:rPr>
          <w:sz w:val="11"/>
          <w:szCs w:val="11"/>
        </w:rPr>
        <w:t>e</w:t>
      </w:r>
      <w:r>
        <w:rPr>
          <w:rFonts w:hint="eastAsia"/>
          <w:sz w:val="11"/>
          <w:szCs w:val="11"/>
        </w:rPr>
        <w:t>se conditions from time to time without any notice.</w:t>
      </w:r>
    </w:p>
    <w:p>
      <w:pPr>
        <w:pStyle w:val="11"/>
        <w:numPr>
          <w:ilvl w:val="0"/>
          <w:numId w:val="1"/>
        </w:numPr>
        <w:contextualSpacing/>
        <w:rPr>
          <w:sz w:val="11"/>
          <w:szCs w:val="11"/>
        </w:rPr>
      </w:pPr>
      <w:r>
        <w:rPr>
          <w:rFonts w:hint="eastAsia"/>
          <w:sz w:val="11"/>
          <w:szCs w:val="11"/>
        </w:rPr>
        <w:t xml:space="preserve">The remitter must ensure each of his/her instructions which involve cross border remittances to mainland China must not contravene any applicable laws, regulations or rules in mainland China and the </w:t>
      </w:r>
      <w:r>
        <w:rPr>
          <w:sz w:val="11"/>
          <w:szCs w:val="11"/>
        </w:rPr>
        <w:t>requirements</w:t>
      </w:r>
      <w:r>
        <w:rPr>
          <w:rFonts w:hint="eastAsia"/>
          <w:sz w:val="11"/>
          <w:szCs w:val="11"/>
        </w:rPr>
        <w:t xml:space="preserve"> as designated by Hong Kong Monetary Authority or the relevant clearing bank in Hong Kong from time to time (the </w:t>
      </w:r>
      <w:r>
        <w:rPr>
          <w:b/>
          <w:sz w:val="11"/>
          <w:szCs w:val="11"/>
        </w:rPr>
        <w:t>“</w:t>
      </w:r>
      <w:r>
        <w:rPr>
          <w:rFonts w:hint="eastAsia"/>
          <w:b/>
          <w:sz w:val="11"/>
          <w:szCs w:val="11"/>
        </w:rPr>
        <w:t>Applicable Rules</w:t>
      </w:r>
      <w:r>
        <w:rPr>
          <w:b/>
          <w:sz w:val="11"/>
          <w:szCs w:val="11"/>
        </w:rPr>
        <w:t>”</w:t>
      </w:r>
      <w:r>
        <w:rPr>
          <w:rFonts w:hint="eastAsia"/>
          <w:sz w:val="11"/>
          <w:szCs w:val="11"/>
        </w:rPr>
        <w:t>).</w:t>
      </w:r>
      <w:r>
        <w:rPr>
          <w:rFonts w:hint="eastAsia"/>
          <w:b/>
          <w:sz w:val="11"/>
          <w:szCs w:val="11"/>
        </w:rPr>
        <w:t xml:space="preserve"> </w:t>
      </w:r>
      <w:r>
        <w:rPr>
          <w:rFonts w:hint="eastAsia"/>
          <w:sz w:val="11"/>
          <w:szCs w:val="11"/>
        </w:rPr>
        <w:t xml:space="preserve">The remitter shall also ensure that all approvals required (if any) for carrying out his/her instructions under the Applicable Rules have been duly obtained and shall provide the Bank </w:t>
      </w:r>
      <w:r>
        <w:rPr>
          <w:sz w:val="11"/>
          <w:szCs w:val="11"/>
        </w:rPr>
        <w:t>with a</w:t>
      </w:r>
      <w:r>
        <w:rPr>
          <w:rFonts w:hint="eastAsia"/>
          <w:sz w:val="11"/>
          <w:szCs w:val="11"/>
        </w:rPr>
        <w:t xml:space="preserve"> copy of such approvals. The Bank has absolute right to refuse to carry out any instruction (i) which in the opinion of the Bank may contravene the Applicable Rules or (ii) if any approval is required for carrying out such instruction, but the remitter fails to present such documents showing the relevant approval has been duly obtained to the Bank</w:t>
      </w:r>
      <w:r>
        <w:rPr>
          <w:sz w:val="11"/>
          <w:szCs w:val="11"/>
        </w:rPr>
        <w:t>’</w:t>
      </w:r>
      <w:r>
        <w:rPr>
          <w:rFonts w:hint="eastAsia"/>
          <w:sz w:val="11"/>
          <w:szCs w:val="11"/>
        </w:rPr>
        <w:t>s satisfaction. In any event, the remitter shall hold the Bank harmless against any loss, cost or expense the Bank may suffer or incur in connection therewith or arising therefrom.</w:t>
      </w:r>
    </w:p>
    <w:p>
      <w:pPr>
        <w:pStyle w:val="11"/>
        <w:numPr>
          <w:ilvl w:val="0"/>
          <w:numId w:val="1"/>
        </w:numPr>
        <w:contextualSpacing/>
        <w:rPr>
          <w:sz w:val="11"/>
          <w:szCs w:val="11"/>
        </w:rPr>
      </w:pPr>
      <w:r>
        <w:rPr>
          <w:rFonts w:hint="eastAsia"/>
          <w:sz w:val="11"/>
          <w:szCs w:val="11"/>
        </w:rPr>
        <w:t xml:space="preserve">The Bank will not be liable for any loss, cost or </w:t>
      </w:r>
      <w:r>
        <w:rPr>
          <w:sz w:val="11"/>
          <w:szCs w:val="11"/>
        </w:rPr>
        <w:t>expense</w:t>
      </w:r>
      <w:r>
        <w:rPr>
          <w:rFonts w:hint="eastAsia"/>
          <w:sz w:val="11"/>
          <w:szCs w:val="11"/>
        </w:rPr>
        <w:t xml:space="preserve"> incurred or suffered by the remitter by reason of the Bank</w:t>
      </w:r>
      <w:r>
        <w:rPr>
          <w:sz w:val="11"/>
          <w:szCs w:val="11"/>
        </w:rPr>
        <w:t>’</w:t>
      </w:r>
      <w:r>
        <w:rPr>
          <w:rFonts w:hint="eastAsia"/>
          <w:sz w:val="11"/>
          <w:szCs w:val="11"/>
        </w:rPr>
        <w:t xml:space="preserve">s failure to carry out any instruction(s) of the remitter if such instruction(s) is/are not carried out due to (i) </w:t>
      </w:r>
      <w:r>
        <w:rPr>
          <w:sz w:val="11"/>
          <w:szCs w:val="11"/>
        </w:rPr>
        <w:t>the</w:t>
      </w:r>
      <w:r>
        <w:rPr>
          <w:rFonts w:hint="eastAsia"/>
          <w:sz w:val="11"/>
          <w:szCs w:val="11"/>
        </w:rPr>
        <w:t xml:space="preserve"> Bank</w:t>
      </w:r>
      <w:r>
        <w:rPr>
          <w:sz w:val="11"/>
          <w:szCs w:val="11"/>
        </w:rPr>
        <w:t>’</w:t>
      </w:r>
      <w:r>
        <w:rPr>
          <w:rFonts w:hint="eastAsia"/>
          <w:sz w:val="11"/>
          <w:szCs w:val="11"/>
        </w:rPr>
        <w:t>s suspicion that the relevant monies are the proceed</w:t>
      </w:r>
      <w:r>
        <w:rPr>
          <w:sz w:val="11"/>
          <w:szCs w:val="11"/>
        </w:rPr>
        <w:t>s</w:t>
      </w:r>
      <w:r>
        <w:rPr>
          <w:rFonts w:hint="eastAsia"/>
          <w:sz w:val="11"/>
          <w:szCs w:val="11"/>
        </w:rPr>
        <w:t xml:space="preserve"> of money laundering and or </w:t>
      </w:r>
      <w:r>
        <w:rPr>
          <w:sz w:val="11"/>
          <w:szCs w:val="11"/>
        </w:rPr>
        <w:t>terrorist</w:t>
      </w:r>
      <w:r>
        <w:rPr>
          <w:rFonts w:hint="eastAsia"/>
          <w:sz w:val="11"/>
          <w:szCs w:val="11"/>
        </w:rPr>
        <w:t xml:space="preserve"> financing; and/or (ii) an injunction or order restricting the Bank from carrying out the relevant instruction(s) has/have been given or issued by any public authority of any competent jurisdiction; and/or (iii) any of Bank</w:t>
      </w:r>
      <w:r>
        <w:rPr>
          <w:sz w:val="11"/>
          <w:szCs w:val="11"/>
        </w:rPr>
        <w:t>’</w:t>
      </w:r>
      <w:r>
        <w:rPr>
          <w:rFonts w:hint="eastAsia"/>
          <w:sz w:val="11"/>
          <w:szCs w:val="11"/>
        </w:rPr>
        <w:t>s correspondents (including, if applicable correspondent banks in mainland China) act or refuse to act, in such a manner that prevents the carrying out of any such instruction(s).</w:t>
      </w:r>
    </w:p>
    <w:p>
      <w:pPr>
        <w:pStyle w:val="11"/>
        <w:numPr>
          <w:ilvl w:val="0"/>
          <w:numId w:val="1"/>
        </w:numPr>
        <w:contextualSpacing/>
        <w:rPr>
          <w:sz w:val="11"/>
          <w:szCs w:val="11"/>
        </w:rPr>
      </w:pPr>
      <w:r>
        <w:rPr>
          <w:sz w:val="11"/>
          <w:szCs w:val="11"/>
        </w:rPr>
        <w:t>The</w:t>
      </w:r>
      <w:r>
        <w:rPr>
          <w:rFonts w:hint="eastAsia"/>
          <w:sz w:val="11"/>
          <w:szCs w:val="11"/>
        </w:rPr>
        <w:t xml:space="preserve"> conditions herein contained shall be in addition to and shall not prejudice any other agreement(s) or terms and conditions between the Bank and </w:t>
      </w:r>
      <w:r>
        <w:rPr>
          <w:sz w:val="11"/>
          <w:szCs w:val="11"/>
        </w:rPr>
        <w:t>the</w:t>
      </w:r>
      <w:r>
        <w:rPr>
          <w:rFonts w:hint="eastAsia"/>
          <w:sz w:val="11"/>
          <w:szCs w:val="11"/>
        </w:rPr>
        <w:t xml:space="preserve"> remitter. If any provision or part of these conditions shall be invalid, all other provisions shall remain in full force and effect.</w:t>
      </w:r>
    </w:p>
    <w:p>
      <w:pPr>
        <w:pStyle w:val="11"/>
        <w:numPr>
          <w:ilvl w:val="0"/>
          <w:numId w:val="1"/>
        </w:numPr>
        <w:contextualSpacing/>
        <w:rPr>
          <w:sz w:val="11"/>
          <w:szCs w:val="11"/>
        </w:rPr>
      </w:pPr>
      <w:r>
        <w:rPr>
          <w:rFonts w:hint="eastAsia"/>
          <w:sz w:val="11"/>
          <w:szCs w:val="11"/>
        </w:rPr>
        <w:t xml:space="preserve">Remitter may not include conditions to be satisfied before payment can be released to the beneficiary </w:t>
      </w:r>
      <w:r>
        <w:rPr>
          <w:sz w:val="11"/>
          <w:szCs w:val="11"/>
        </w:rPr>
        <w:t xml:space="preserve">as neither the Bank nor the beneficiary </w:t>
      </w:r>
      <w:r>
        <w:rPr>
          <w:rFonts w:hint="eastAsia"/>
          <w:sz w:val="11"/>
          <w:szCs w:val="11"/>
        </w:rPr>
        <w:t>banks can accept responsibility for policing such conditions.</w:t>
      </w:r>
    </w:p>
    <w:p>
      <w:pPr>
        <w:pStyle w:val="11"/>
        <w:numPr>
          <w:ilvl w:val="0"/>
          <w:numId w:val="1"/>
        </w:numPr>
        <w:contextualSpacing/>
        <w:rPr>
          <w:sz w:val="11"/>
          <w:szCs w:val="11"/>
        </w:rPr>
      </w:pPr>
      <w:r>
        <w:rPr>
          <w:rFonts w:hint="eastAsia"/>
          <w:sz w:val="11"/>
          <w:szCs w:val="11"/>
        </w:rPr>
        <w:t xml:space="preserve">The remitter agrees and </w:t>
      </w:r>
      <w:r>
        <w:rPr>
          <w:sz w:val="11"/>
          <w:szCs w:val="11"/>
        </w:rPr>
        <w:t xml:space="preserve">authorises </w:t>
      </w:r>
      <w:r>
        <w:rPr>
          <w:rFonts w:hint="eastAsia"/>
          <w:sz w:val="11"/>
          <w:szCs w:val="11"/>
        </w:rPr>
        <w:t>the Bank to disclose any personal data relating to the remitter collected by the Bank from time to time for such proposes and to such person (whether the recipient is located in Hong Kong or another country, or in a country that does not offer</w:t>
      </w:r>
      <w:r>
        <w:rPr>
          <w:sz w:val="11"/>
          <w:szCs w:val="11"/>
        </w:rPr>
        <w:t xml:space="preserve"> the</w:t>
      </w:r>
      <w:r>
        <w:rPr>
          <w:rFonts w:hint="eastAsia"/>
          <w:sz w:val="11"/>
          <w:szCs w:val="11"/>
        </w:rPr>
        <w:t xml:space="preserve"> same level of data protection as Hong Kong) in accordance with the Bank</w:t>
      </w:r>
      <w:r>
        <w:rPr>
          <w:sz w:val="11"/>
          <w:szCs w:val="11"/>
        </w:rPr>
        <w:t>’</w:t>
      </w:r>
      <w:r>
        <w:rPr>
          <w:rFonts w:hint="eastAsia"/>
          <w:sz w:val="11"/>
          <w:szCs w:val="11"/>
        </w:rPr>
        <w:t xml:space="preserve">s policies on use and disclosure of personal data. Such policies are set out in statements, circulars, terms and conditions or notice made </w:t>
      </w:r>
      <w:r>
        <w:rPr>
          <w:sz w:val="11"/>
          <w:szCs w:val="11"/>
        </w:rPr>
        <w:t>available</w:t>
      </w:r>
      <w:r>
        <w:rPr>
          <w:rFonts w:hint="eastAsia"/>
          <w:sz w:val="11"/>
          <w:szCs w:val="11"/>
        </w:rPr>
        <w:t xml:space="preserve"> by the Banks to its customers from time to time. The remitter also agrees and authorises the Bank to (i) use </w:t>
      </w:r>
      <w:r>
        <w:rPr>
          <w:sz w:val="11"/>
          <w:szCs w:val="11"/>
        </w:rPr>
        <w:t>the</w:t>
      </w:r>
      <w:r>
        <w:rPr>
          <w:rFonts w:hint="eastAsia"/>
          <w:sz w:val="11"/>
          <w:szCs w:val="11"/>
        </w:rPr>
        <w:t xml:space="preserve"> </w:t>
      </w:r>
      <w:r>
        <w:rPr>
          <w:sz w:val="11"/>
          <w:szCs w:val="11"/>
        </w:rPr>
        <w:t>collected</w:t>
      </w:r>
      <w:r>
        <w:rPr>
          <w:rFonts w:hint="eastAsia"/>
          <w:sz w:val="11"/>
          <w:szCs w:val="11"/>
        </w:rPr>
        <w:t xml:space="preserve"> data for the purpose of meeting the requirements to make disclosure under the requirements of any law, regulation, code or guideline, court order or any regulatory authority in any jurisdiction, and (ii) disclose to any person to whom the Bank is required or permitted to do so by any law, regulation, code </w:t>
      </w:r>
      <w:r>
        <w:rPr>
          <w:sz w:val="11"/>
          <w:szCs w:val="11"/>
        </w:rPr>
        <w:t>and</w:t>
      </w:r>
      <w:r>
        <w:rPr>
          <w:rFonts w:hint="eastAsia"/>
          <w:sz w:val="11"/>
          <w:szCs w:val="11"/>
        </w:rPr>
        <w:t xml:space="preserve"> guideline, court order or any regulatory authority in any jurisdiction.</w:t>
      </w:r>
    </w:p>
    <w:p>
      <w:pPr>
        <w:pStyle w:val="11"/>
        <w:numPr>
          <w:ilvl w:val="0"/>
          <w:numId w:val="1"/>
        </w:numPr>
        <w:contextualSpacing/>
        <w:rPr>
          <w:sz w:val="11"/>
          <w:szCs w:val="11"/>
        </w:rPr>
      </w:pPr>
      <w:r>
        <w:rPr>
          <w:rFonts w:hint="eastAsia"/>
          <w:sz w:val="11"/>
          <w:szCs w:val="11"/>
        </w:rPr>
        <w:t xml:space="preserve">The conditions of the General Conditions for Accounts (except to the extent expressly inconsistent therewith) shall be </w:t>
      </w:r>
      <w:r>
        <w:rPr>
          <w:sz w:val="11"/>
          <w:szCs w:val="11"/>
        </w:rPr>
        <w:t>applicable</w:t>
      </w:r>
      <w:r>
        <w:rPr>
          <w:rFonts w:hint="eastAsia"/>
          <w:sz w:val="11"/>
          <w:szCs w:val="11"/>
        </w:rPr>
        <w:t xml:space="preserve"> to </w:t>
      </w:r>
      <w:r>
        <w:rPr>
          <w:sz w:val="11"/>
          <w:szCs w:val="11"/>
        </w:rPr>
        <w:t xml:space="preserve">the </w:t>
      </w:r>
      <w:r>
        <w:rPr>
          <w:rFonts w:hint="eastAsia"/>
          <w:sz w:val="11"/>
          <w:szCs w:val="11"/>
        </w:rPr>
        <w:t>services that the remitter applies for under this Application for Cashier</w:t>
      </w:r>
      <w:r>
        <w:rPr>
          <w:sz w:val="11"/>
          <w:szCs w:val="11"/>
        </w:rPr>
        <w:t>’</w:t>
      </w:r>
      <w:r>
        <w:rPr>
          <w:rFonts w:hint="eastAsia"/>
          <w:sz w:val="11"/>
          <w:szCs w:val="11"/>
        </w:rPr>
        <w:t>s Order and Remittance with same effect.</w:t>
      </w:r>
    </w:p>
    <w:p>
      <w:pPr>
        <w:pStyle w:val="11"/>
        <w:numPr>
          <w:ilvl w:val="0"/>
          <w:numId w:val="1"/>
        </w:numPr>
        <w:contextualSpacing/>
        <w:rPr>
          <w:sz w:val="11"/>
          <w:szCs w:val="11"/>
        </w:rPr>
      </w:pPr>
      <w:r>
        <w:rPr>
          <w:rFonts w:hint="eastAsia"/>
          <w:sz w:val="11"/>
          <w:szCs w:val="11"/>
        </w:rPr>
        <w:t>In the event of there being any difference between the English and Chinese versions of th</w:t>
      </w:r>
      <w:r>
        <w:rPr>
          <w:sz w:val="11"/>
          <w:szCs w:val="11"/>
        </w:rPr>
        <w:t>e</w:t>
      </w:r>
      <w:r>
        <w:rPr>
          <w:rFonts w:hint="eastAsia"/>
          <w:sz w:val="11"/>
          <w:szCs w:val="11"/>
        </w:rPr>
        <w:t xml:space="preserve">se conditions, the English version shall prevail. </w:t>
      </w:r>
    </w:p>
    <w:p>
      <w:pPr>
        <w:pStyle w:val="11"/>
        <w:ind w:left="720"/>
        <w:contextualSpacing/>
        <w:rPr>
          <w:sz w:val="11"/>
          <w:szCs w:val="11"/>
        </w:rPr>
      </w:pPr>
    </w:p>
    <w:p>
      <w:pPr>
        <w:pStyle w:val="11"/>
        <w:contextualSpacing/>
        <w:jc w:val="center"/>
        <w:rPr>
          <w:sz w:val="11"/>
          <w:szCs w:val="11"/>
        </w:rPr>
      </w:pPr>
    </w:p>
    <w:p>
      <w:pPr>
        <w:pStyle w:val="11"/>
        <w:pBdr>
          <w:bottom w:val="single" w:color="auto" w:sz="12" w:space="1"/>
        </w:pBdr>
        <w:contextualSpacing/>
        <w:jc w:val="center"/>
        <w:rPr>
          <w:rFonts w:ascii="仿宋" w:hAnsi="仿宋" w:eastAsia="仿宋"/>
          <w:color w:val="000000"/>
          <w:spacing w:val="13"/>
          <w:sz w:val="16"/>
          <w:szCs w:val="16"/>
        </w:rPr>
      </w:pPr>
      <w:r>
        <w:rPr>
          <w:rFonts w:hint="eastAsia" w:ascii="仿宋" w:hAnsi="仿宋" w:eastAsia="仿宋"/>
          <w:color w:val="000000"/>
          <w:spacing w:val="13"/>
          <w:sz w:val="16"/>
          <w:szCs w:val="16"/>
        </w:rPr>
        <w:t>條款</w:t>
      </w:r>
    </w:p>
    <w:p>
      <w:pPr>
        <w:pStyle w:val="11"/>
        <w:contextualSpacing/>
        <w:rPr>
          <w:sz w:val="11"/>
          <w:szCs w:val="11"/>
        </w:rPr>
      </w:pPr>
    </w:p>
    <w:p>
      <w:pPr>
        <w:pStyle w:val="11"/>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請細閱及明瞭下列條款</w:t>
      </w:r>
      <w:r>
        <w:rPr>
          <w:rFonts w:ascii="仿宋" w:hAnsi="仿宋" w:eastAsia="仿宋"/>
          <w:color w:val="000000"/>
          <w:spacing w:val="13"/>
          <w:sz w:val="11"/>
          <w:szCs w:val="11"/>
        </w:rPr>
        <w:t>:</w:t>
      </w:r>
    </w:p>
    <w:p>
      <w:pPr>
        <w:pStyle w:val="11"/>
        <w:contextualSpacing/>
        <w:rPr>
          <w:rFonts w:ascii="仿宋" w:hAnsi="仿宋" w:eastAsia="仿宋"/>
          <w:color w:val="000000"/>
          <w:spacing w:val="13"/>
          <w:sz w:val="11"/>
          <w:szCs w:val="11"/>
        </w:rPr>
      </w:pP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倘因下列情況而引致之任何損失，包括</w:t>
      </w:r>
      <w:r>
        <w:rPr>
          <w:rFonts w:ascii="仿宋" w:hAnsi="仿宋" w:eastAsia="仿宋"/>
          <w:color w:val="000000"/>
          <w:spacing w:val="13"/>
          <w:sz w:val="11"/>
          <w:szCs w:val="11"/>
        </w:rPr>
        <w:t xml:space="preserve">: </w:t>
      </w:r>
      <w:r>
        <w:rPr>
          <w:rFonts w:hint="eastAsia" w:ascii="仿宋" w:hAnsi="仿宋" w:eastAsia="仿宋"/>
          <w:color w:val="000000"/>
          <w:spacing w:val="13"/>
          <w:sz w:val="11"/>
          <w:szCs w:val="11"/>
        </w:rPr>
        <w:t>遺漏或延誤寄發是次匯款之信息、付款或付款通知；任何文件或訊息或訊號在寄發或傳送途中或其它情況所發生之損失；傳送或交付任何文件、訊息、訊號、書信、電報或越洋電報的損毁、錯誤、遺漏、中斷或延誤；本行的代理行、代理人、分代理人、其他票據交換所自動轉賬系統的其他參予機構</w:t>
      </w:r>
      <w:r>
        <w:rPr>
          <w:rFonts w:ascii="仿宋" w:hAnsi="仿宋" w:eastAsia="仿宋"/>
          <w:color w:val="000000"/>
          <w:spacing w:val="13"/>
          <w:sz w:val="11"/>
          <w:szCs w:val="11"/>
        </w:rPr>
        <w:t>(</w:t>
      </w:r>
      <w:r>
        <w:rPr>
          <w:rFonts w:hint="eastAsia" w:ascii="仿宋" w:hAnsi="仿宋" w:eastAsia="仿宋"/>
          <w:color w:val="000000"/>
          <w:spacing w:val="13"/>
          <w:sz w:val="11"/>
          <w:szCs w:val="11"/>
        </w:rPr>
        <w:t>如適用</w:t>
      </w:r>
      <w:r>
        <w:rPr>
          <w:rFonts w:ascii="仿宋" w:hAnsi="仿宋" w:eastAsia="仿宋"/>
          <w:color w:val="000000"/>
          <w:spacing w:val="13"/>
          <w:sz w:val="11"/>
          <w:szCs w:val="11"/>
        </w:rPr>
        <w:t>)</w:t>
      </w:r>
      <w:r>
        <w:rPr>
          <w:rFonts w:hint="eastAsia" w:ascii="仿宋" w:hAnsi="仿宋" w:eastAsia="仿宋"/>
          <w:color w:val="000000"/>
          <w:spacing w:val="13"/>
          <w:sz w:val="11"/>
          <w:szCs w:val="11"/>
        </w:rPr>
        <w:t>或其他人士的任何行為或疏忽；已宣佈或沒有宣佈的戰爭；審查制度；封鎖；叛變；騷亂；本地或外地政府或其他事實上或法律上行使政府權力的團體的任何法律、制令、規則、管制、限制或其它行為；或任何電腦、機械或電子儀器之故障或失靈；或其它本行不能控制之事故，本行概不負責。</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將匯款之一切訊息以文字或密碼發出，而本行不須負責因發出訊息而產生的任何遺失、延誤、錯誤、遺漏或毀壞或本行的任何代理行錯誤陳述該訊息或其任何部份之任何責任，或本行代理行的國家的支付或匯款系統的任何延誤或錯誤而引致之任何責任。在任何情況下及在適用法律允許的最大限度內，本行均不需對任何合約項下的任何利潤或損失，或特別、間接、或繼起之損失負上任何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本行在按此匯款申請行事前，可自行決定有需要時要求匯款人或其獲授權簽章人員或獲授權人士的任何一人以電話確認此匯款申請。如本行未能獲得上述的確認，本行可拒絕按此匯款申請行事</w:t>
      </w:r>
      <w:r>
        <w:rPr>
          <w:rFonts w:ascii="仿宋" w:hAnsi="仿宋" w:eastAsia="仿宋"/>
          <w:color w:val="000000"/>
          <w:spacing w:val="13"/>
          <w:sz w:val="11"/>
          <w:szCs w:val="11"/>
        </w:rPr>
        <w:t>(</w:t>
      </w:r>
      <w:r>
        <w:rPr>
          <w:rFonts w:hint="eastAsia" w:ascii="仿宋" w:hAnsi="仿宋" w:eastAsia="仿宋"/>
          <w:color w:val="000000"/>
          <w:spacing w:val="13"/>
          <w:sz w:val="11"/>
          <w:szCs w:val="11"/>
        </w:rPr>
        <w:t>在此情況下本行有絕對酌情權決定如何處置有關的匯款申請</w:t>
      </w:r>
      <w:r>
        <w:rPr>
          <w:rFonts w:ascii="仿宋" w:hAnsi="仿宋" w:eastAsia="仿宋"/>
          <w:color w:val="000000"/>
          <w:spacing w:val="13"/>
          <w:sz w:val="11"/>
          <w:szCs w:val="11"/>
        </w:rPr>
        <w:t>)</w:t>
      </w:r>
      <w:r>
        <w:rPr>
          <w:rFonts w:hint="eastAsia" w:ascii="仿宋" w:hAnsi="仿宋" w:eastAsia="仿宋"/>
          <w:color w:val="000000"/>
          <w:spacing w:val="13"/>
          <w:sz w:val="11"/>
          <w:szCs w:val="11"/>
        </w:rPr>
        <w:t>；本行無須為拒絕或因此延遲行事而負上任何貴任。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本行可自行決定是否接受此申請。如匯款申請書中，本行認為資料不完整或不清晰，本行保留權利不處理有關匯款。因此而導致匯款未能處理或延誤，本行毋須承擔任何責任。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的申請為本行接納後，未經本行的書面同意不可取消。於考慮是否接受匯款人取消匯款的要求時，本行可考慮的其中一項因素是本行是否已經接獲代理行已停止及取消有關匯款的通知，假若本行同意取消匯款，匯款人將受本行不時認為適用的條款所約束。</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受上述條款</w:t>
      </w:r>
      <w:r>
        <w:rPr>
          <w:rFonts w:ascii="仿宋" w:hAnsi="仿宋" w:eastAsia="仿宋"/>
          <w:color w:val="000000"/>
          <w:spacing w:val="13"/>
          <w:sz w:val="11"/>
          <w:szCs w:val="11"/>
        </w:rPr>
        <w:t>(3)</w:t>
      </w:r>
      <w:r>
        <w:rPr>
          <w:rFonts w:hint="eastAsia" w:ascii="仿宋" w:hAnsi="仿宋" w:eastAsia="仿宋"/>
          <w:color w:val="000000"/>
          <w:spacing w:val="13"/>
          <w:sz w:val="11"/>
          <w:szCs w:val="11"/>
        </w:rPr>
        <w:t>之約束下，除非另有特別指示，匯款將以收款國家之貨幣支付。</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如沒有特別指示，在香港以外的一切費用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佣金，由收款人支付並從匯款金額中扣除。如註明該等費用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佣金由匯款人支付，該等费用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佣金根據本行當時釐定之收费收取，但收款人能否收取匯款全數，則受有關本行的代理行及</w:t>
      </w:r>
      <w:r>
        <w:rPr>
          <w:rFonts w:ascii="仿宋" w:hAnsi="仿宋" w:eastAsia="仿宋"/>
          <w:color w:val="000000"/>
          <w:spacing w:val="13"/>
          <w:sz w:val="11"/>
          <w:szCs w:val="11"/>
        </w:rPr>
        <w:t>/</w:t>
      </w:r>
      <w:r>
        <w:rPr>
          <w:rFonts w:hint="eastAsia" w:ascii="仿宋" w:hAnsi="仿宋" w:eastAsia="仿宋"/>
          <w:color w:val="000000"/>
          <w:spacing w:val="13"/>
          <w:sz w:val="11"/>
          <w:szCs w:val="11"/>
        </w:rPr>
        <w:t>或收款銀行的付款慣例約束。本行有權向匯款人收取本行、本行的代理行及代理人的開支。部分海外銀行可能會徵收額外海外手續費</w:t>
      </w:r>
      <w:r>
        <w:rPr>
          <w:rFonts w:ascii="仿宋" w:hAnsi="仿宋" w:eastAsia="仿宋"/>
          <w:color w:val="000000"/>
          <w:spacing w:val="13"/>
          <w:sz w:val="11"/>
          <w:szCs w:val="11"/>
        </w:rPr>
        <w:t>(</w:t>
      </w:r>
      <w:r>
        <w:rPr>
          <w:rFonts w:hint="eastAsia" w:ascii="仿宋" w:hAnsi="仿宋" w:eastAsia="仿宋"/>
          <w:color w:val="000000"/>
          <w:spacing w:val="13"/>
          <w:sz w:val="11"/>
          <w:szCs w:val="11"/>
        </w:rPr>
        <w:t>包括收款銀行及本行的代理行的收費</w:t>
      </w:r>
      <w:r>
        <w:rPr>
          <w:rFonts w:ascii="仿宋" w:hAnsi="仿宋" w:eastAsia="仿宋"/>
          <w:color w:val="000000"/>
          <w:spacing w:val="13"/>
          <w:sz w:val="11"/>
          <w:szCs w:val="11"/>
        </w:rPr>
        <w:t>)</w:t>
      </w:r>
      <w:r>
        <w:rPr>
          <w:rFonts w:hint="eastAsia" w:ascii="仿宋" w:hAnsi="仿宋" w:eastAsia="仿宋"/>
          <w:color w:val="000000"/>
          <w:spacing w:val="13"/>
          <w:sz w:val="11"/>
          <w:szCs w:val="11"/>
        </w:rPr>
        <w:t>；不論匯款人於匯款申請書或在其它情況作出任何指示，該等銀行會按其慣例從匯款金額扣除手續費，收款人會因此不能收到匯款金額的全數。</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如因操作情況所需，本行得保留權利將此匯款於</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匯款人指定地點以外</w:t>
      </w:r>
      <w:r>
        <w:rPr>
          <w:rFonts w:ascii="仿宋" w:hAnsi="仿宋" w:eastAsia="仿宋"/>
          <w:color w:val="000000"/>
          <w:spacing w:val="13"/>
          <w:sz w:val="11"/>
          <w:szCs w:val="11"/>
        </w:rPr>
        <w:t xml:space="preserve">) </w:t>
      </w:r>
      <w:r>
        <w:rPr>
          <w:rFonts w:hint="eastAsia" w:ascii="仿宋" w:hAnsi="仿宋" w:eastAsia="仿宋"/>
          <w:color w:val="000000"/>
          <w:spacing w:val="13"/>
          <w:sz w:val="11"/>
          <w:szCs w:val="11"/>
        </w:rPr>
        <w:t>不同地點交付。</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本行毋須將下列各項資料通知匯款人</w:t>
      </w:r>
      <w:r>
        <w:rPr>
          <w:rFonts w:ascii="仿宋" w:hAnsi="仿宋" w:eastAsia="仿宋"/>
          <w:color w:val="000000"/>
          <w:spacing w:val="13"/>
          <w:sz w:val="11"/>
          <w:szCs w:val="11"/>
        </w:rPr>
        <w:t>:-(i)</w:t>
      </w:r>
      <w:r>
        <w:rPr>
          <w:rFonts w:hint="eastAsia" w:ascii="仿宋" w:hAnsi="仿宋" w:eastAsia="仿宋"/>
          <w:color w:val="000000"/>
          <w:spacing w:val="13"/>
          <w:sz w:val="11"/>
          <w:szCs w:val="11"/>
        </w:rPr>
        <w:t>有關收款國當地法津或規則所實施之外匯管制或其他限制</w:t>
      </w:r>
      <w:r>
        <w:rPr>
          <w:rFonts w:ascii="仿宋" w:hAnsi="仿宋" w:eastAsia="仿宋"/>
          <w:color w:val="000000"/>
          <w:spacing w:val="13"/>
          <w:sz w:val="11"/>
          <w:szCs w:val="11"/>
        </w:rPr>
        <w:t>(</w:t>
      </w:r>
      <w:r>
        <w:rPr>
          <w:rFonts w:hint="eastAsia" w:ascii="仿宋" w:hAnsi="仿宋" w:eastAsia="仿宋"/>
          <w:color w:val="000000"/>
          <w:spacing w:val="13"/>
          <w:sz w:val="11"/>
          <w:szCs w:val="11"/>
        </w:rPr>
        <w:t>本行亦毋須因為該等管制及限制而引致的任何損失或延誤負上任何責任。匯款人應自行查詢有關之外匯管制或限制</w:t>
      </w:r>
      <w:r>
        <w:rPr>
          <w:rFonts w:ascii="仿宋" w:hAnsi="仿宋" w:eastAsia="仿宋"/>
          <w:color w:val="000000"/>
          <w:spacing w:val="13"/>
          <w:sz w:val="11"/>
          <w:szCs w:val="11"/>
        </w:rPr>
        <w:t>)</w:t>
      </w:r>
      <w:r>
        <w:rPr>
          <w:rFonts w:hint="eastAsia" w:ascii="仿宋" w:hAnsi="仿宋" w:eastAsia="仿宋"/>
          <w:color w:val="000000"/>
          <w:spacing w:val="13"/>
          <w:sz w:val="11"/>
          <w:szCs w:val="11"/>
        </w:rPr>
        <w:t>；及</w:t>
      </w:r>
      <w:r>
        <w:rPr>
          <w:rFonts w:ascii="仿宋" w:hAnsi="仿宋" w:eastAsia="仿宋"/>
          <w:color w:val="000000"/>
          <w:spacing w:val="13"/>
          <w:sz w:val="11"/>
          <w:szCs w:val="11"/>
        </w:rPr>
        <w:t>(ii)</w:t>
      </w:r>
      <w:r>
        <w:rPr>
          <w:rFonts w:hint="eastAsia" w:ascii="仿宋" w:hAnsi="仿宋" w:eastAsia="仿宋"/>
          <w:color w:val="000000"/>
          <w:spacing w:val="13"/>
          <w:sz w:val="11"/>
          <w:szCs w:val="11"/>
        </w:rPr>
        <w:t>本行的代理行可能收取之任何費用。</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受上述條款</w:t>
      </w:r>
      <w:r>
        <w:rPr>
          <w:rFonts w:ascii="仿宋" w:hAnsi="仿宋" w:eastAsia="仿宋"/>
          <w:color w:val="000000"/>
          <w:spacing w:val="13"/>
          <w:sz w:val="11"/>
          <w:szCs w:val="11"/>
        </w:rPr>
        <w:t>(3)</w:t>
      </w:r>
      <w:r>
        <w:rPr>
          <w:rFonts w:hint="eastAsia" w:ascii="仿宋" w:hAnsi="仿宋" w:eastAsia="仿宋"/>
          <w:color w:val="000000"/>
          <w:spacing w:val="13"/>
          <w:sz w:val="11"/>
          <w:szCs w:val="11"/>
        </w:rPr>
        <w:t>之约束下，本行會力求於收到匯款申請的當天或下一個工作天處理申請。在此而言，工作天指香港的銀行通常營業日</w:t>
      </w:r>
      <w:r>
        <w:rPr>
          <w:rFonts w:ascii="仿宋" w:hAnsi="仿宋" w:eastAsia="仿宋"/>
          <w:color w:val="000000"/>
          <w:spacing w:val="13"/>
          <w:sz w:val="11"/>
          <w:szCs w:val="11"/>
        </w:rPr>
        <w:t>(</w:t>
      </w:r>
      <w:r>
        <w:rPr>
          <w:rFonts w:hint="eastAsia" w:ascii="仿宋" w:hAnsi="仿宋" w:eastAsia="仿宋"/>
          <w:color w:val="000000"/>
          <w:spacing w:val="13"/>
          <w:sz w:val="11"/>
          <w:szCs w:val="11"/>
        </w:rPr>
        <w:t>星期六及星期日除外</w:t>
      </w:r>
      <w:r>
        <w:rPr>
          <w:rFonts w:ascii="仿宋" w:hAnsi="仿宋" w:eastAsia="仿宋"/>
          <w:color w:val="000000"/>
          <w:spacing w:val="13"/>
          <w:sz w:val="11"/>
          <w:szCs w:val="11"/>
        </w:rPr>
        <w:t>)</w:t>
      </w:r>
      <w:r>
        <w:rPr>
          <w:rFonts w:hint="eastAsia" w:ascii="仿宋" w:hAnsi="仿宋" w:eastAsia="仿宋"/>
          <w:color w:val="000000"/>
          <w:spacing w:val="13"/>
          <w:sz w:val="11"/>
          <w:szCs w:val="11"/>
        </w:rPr>
        <w:t>。</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匯款需要在某個指定日期支付，匯款人需要在背頁申請書指明該日期為匯款的付款日，惟本行可自行決定是否接受具有任何指定匯款付款日的匯款申請，但如本行接受該申請，本行將不會由於任何不能由本行或任何本行的代理行控制的事件或原因而令致收款人或收款銀行未能在指定之日收取匯款，所引致匯款人及</w:t>
      </w:r>
      <w:r>
        <w:rPr>
          <w:rFonts w:ascii="仿宋" w:hAnsi="仿宋" w:eastAsia="仿宋"/>
          <w:color w:val="000000"/>
          <w:spacing w:val="13"/>
          <w:sz w:val="11"/>
          <w:szCs w:val="11"/>
        </w:rPr>
        <w:t>/</w:t>
      </w:r>
      <w:r>
        <w:rPr>
          <w:rFonts w:hint="eastAsia" w:ascii="仿宋" w:hAnsi="仿宋" w:eastAsia="仿宋"/>
          <w:color w:val="000000"/>
          <w:spacing w:val="13"/>
          <w:sz w:val="11"/>
          <w:szCs w:val="11"/>
        </w:rPr>
        <w:t>或收款人及</w:t>
      </w:r>
      <w:r>
        <w:rPr>
          <w:rFonts w:ascii="仿宋" w:hAnsi="仿宋" w:eastAsia="仿宋"/>
          <w:color w:val="000000"/>
          <w:spacing w:val="13"/>
          <w:sz w:val="11"/>
          <w:szCs w:val="11"/>
        </w:rPr>
        <w:t>/</w:t>
      </w:r>
      <w:r>
        <w:rPr>
          <w:rFonts w:hint="eastAsia" w:ascii="仿宋" w:hAnsi="仿宋" w:eastAsia="仿宋"/>
          <w:color w:val="000000"/>
          <w:spacing w:val="13"/>
          <w:sz w:val="11"/>
          <w:szCs w:val="11"/>
        </w:rPr>
        <w:t>或任何其他人士的損失而負上任何責任，本行亦毋須就收款銀行支付收款人的時間或如其未能支付負責、本行亦毋須負責向收款銀行追討任何款項。如匯款付款日與匯款申請獲批准或被視為獲批准之日期為同一日，由於匯款可能受收款地區的截數時間及其它因素所限制，故本行並不保證收款銀行或收款人可以在匯款申請獲批准或被視為獲批准之同一日收到匯款。</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在本行允許之情況下，若匯款人需要本行退還匯款，本行可自行以有關貨幣當日之買入價折算，並於扣除所需之收費及其它費用後退款予匯款人。</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本行有權向匯款人收取所有有關匯款之服務費用及其它費用，包括本行的代理行、代理人或分代理人執行匯款指示而要收取之有關費用，費率則根據本行當時釐定之服務收費計算。</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本行可不時調整匯款之服務費用及此等條款而不作通知。</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匯款人必须確保其作出的任何涉及向中國境內匯款的指示不會違反中國大陸任何適用法律、法規或規則及香港金融管理局或相關清算行不時制定的要求</w:t>
      </w:r>
      <w:r>
        <w:rPr>
          <w:rFonts w:ascii="仿宋" w:hAnsi="仿宋" w:eastAsia="仿宋"/>
          <w:color w:val="000000"/>
          <w:spacing w:val="13"/>
          <w:sz w:val="11"/>
          <w:szCs w:val="11"/>
        </w:rPr>
        <w:t>(</w:t>
      </w:r>
      <w:r>
        <w:rPr>
          <w:rFonts w:hint="eastAsia" w:ascii="仿宋" w:hAnsi="仿宋" w:eastAsia="仿宋"/>
          <w:color w:val="000000"/>
          <w:spacing w:val="13"/>
          <w:sz w:val="11"/>
          <w:szCs w:val="11"/>
        </w:rPr>
        <w:t>以下統稱</w:t>
      </w:r>
      <w:r>
        <w:rPr>
          <w:rFonts w:ascii="仿宋" w:hAnsi="仿宋" w:eastAsia="仿宋"/>
          <w:b/>
          <w:color w:val="000000"/>
          <w:spacing w:val="13"/>
          <w:sz w:val="11"/>
          <w:szCs w:val="11"/>
        </w:rPr>
        <w:t>“</w:t>
      </w:r>
      <w:r>
        <w:rPr>
          <w:rFonts w:hint="eastAsia" w:ascii="仿宋" w:hAnsi="仿宋" w:eastAsia="仿宋"/>
          <w:b/>
          <w:color w:val="000000"/>
          <w:spacing w:val="13"/>
          <w:sz w:val="11"/>
          <w:szCs w:val="11"/>
        </w:rPr>
        <w:t>適用規則</w:t>
      </w:r>
      <w:r>
        <w:rPr>
          <w:rFonts w:ascii="仿宋" w:hAnsi="仿宋" w:eastAsia="仿宋"/>
          <w:b/>
          <w:color w:val="000000"/>
          <w:spacing w:val="13"/>
          <w:sz w:val="11"/>
          <w:szCs w:val="11"/>
        </w:rPr>
        <w:t>”</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。匯款人應同時確保在適用規則項下執行其指示所需的一切批准</w:t>
      </w:r>
      <w:r>
        <w:rPr>
          <w:rFonts w:ascii="仿宋" w:hAnsi="仿宋" w:eastAsia="仿宋"/>
          <w:color w:val="000000"/>
          <w:spacing w:val="13"/>
          <w:sz w:val="11"/>
          <w:szCs w:val="11"/>
        </w:rPr>
        <w:t>(</w:t>
      </w:r>
      <w:r>
        <w:rPr>
          <w:rFonts w:hint="eastAsia" w:ascii="仿宋" w:hAnsi="仿宋" w:eastAsia="仿宋"/>
          <w:color w:val="000000"/>
          <w:spacing w:val="13"/>
          <w:sz w:val="11"/>
          <w:szCs w:val="11"/>
        </w:rPr>
        <w:t>如有</w:t>
      </w:r>
      <w:r>
        <w:rPr>
          <w:rFonts w:ascii="仿宋" w:hAnsi="仿宋" w:eastAsia="仿宋"/>
          <w:color w:val="000000"/>
          <w:spacing w:val="13"/>
          <w:sz w:val="11"/>
          <w:szCs w:val="11"/>
        </w:rPr>
        <w:t>)</w:t>
      </w:r>
      <w:r>
        <w:rPr>
          <w:rFonts w:hint="eastAsia" w:ascii="仿宋" w:hAnsi="仿宋" w:eastAsia="仿宋"/>
          <w:color w:val="000000"/>
          <w:spacing w:val="13"/>
          <w:sz w:val="11"/>
          <w:szCs w:val="11"/>
        </w:rPr>
        <w:t>已妥為獲得且匯款人已向本行遞交該等批准的複印件。本行擁有絕對權利拒絕執行匯款人的指示，若該指示</w:t>
      </w:r>
      <w:r>
        <w:rPr>
          <w:rFonts w:ascii="仿宋" w:hAnsi="仿宋" w:eastAsia="仿宋"/>
          <w:color w:val="000000"/>
          <w:spacing w:val="13"/>
          <w:sz w:val="11"/>
          <w:szCs w:val="11"/>
        </w:rPr>
        <w:t>(i)</w:t>
      </w:r>
      <w:r>
        <w:rPr>
          <w:rFonts w:hint="eastAsia" w:ascii="仿宋" w:hAnsi="仿宋" w:eastAsia="仿宋"/>
          <w:color w:val="000000"/>
          <w:spacing w:val="13"/>
          <w:sz w:val="11"/>
          <w:szCs w:val="11"/>
        </w:rPr>
        <w:t>在本行看來可能違反適用規則，或</w:t>
      </w:r>
      <w:r>
        <w:rPr>
          <w:rFonts w:ascii="仿宋" w:hAnsi="仿宋" w:eastAsia="仿宋"/>
          <w:color w:val="000000"/>
          <w:spacing w:val="13"/>
          <w:sz w:val="11"/>
          <w:szCs w:val="11"/>
        </w:rPr>
        <w:t>(ii)</w:t>
      </w:r>
      <w:r>
        <w:rPr>
          <w:rFonts w:hint="eastAsia" w:ascii="仿宋" w:hAnsi="仿宋" w:eastAsia="仿宋"/>
          <w:color w:val="000000"/>
          <w:spacing w:val="13"/>
          <w:sz w:val="11"/>
          <w:szCs w:val="11"/>
        </w:rPr>
        <w:t>在執行該指示時需取得任何批准，而匯款人未提供顯示該等批准已妥為取得的證據</w:t>
      </w:r>
      <w:r>
        <w:rPr>
          <w:rFonts w:ascii="仿宋" w:hAnsi="仿宋" w:eastAsia="仿宋"/>
          <w:color w:val="000000"/>
          <w:spacing w:val="13"/>
          <w:sz w:val="11"/>
          <w:szCs w:val="11"/>
        </w:rPr>
        <w:t>(</w:t>
      </w:r>
      <w:r>
        <w:rPr>
          <w:rFonts w:hint="eastAsia" w:ascii="仿宋" w:hAnsi="仿宋" w:eastAsia="仿宋"/>
          <w:color w:val="000000"/>
          <w:spacing w:val="13"/>
          <w:sz w:val="11"/>
          <w:szCs w:val="11"/>
        </w:rPr>
        <w:t>且該等證據需為本行所滿意接受</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。匯款人應確保本行不受因任何前述情況而產生或與前述有關的任何損失、成本或費用的損害。</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若本行因以下理由無法執行匯款人的指示</w:t>
      </w:r>
      <w:r>
        <w:rPr>
          <w:rFonts w:ascii="仿宋" w:hAnsi="仿宋" w:eastAsia="仿宋"/>
          <w:color w:val="000000"/>
          <w:spacing w:val="13"/>
          <w:sz w:val="11"/>
          <w:szCs w:val="11"/>
        </w:rPr>
        <w:t>(i)</w:t>
      </w:r>
      <w:r>
        <w:rPr>
          <w:rFonts w:hint="eastAsia" w:ascii="仿宋" w:hAnsi="仿宋" w:eastAsia="仿宋"/>
          <w:color w:val="000000"/>
          <w:spacing w:val="13"/>
          <w:sz w:val="11"/>
          <w:szCs w:val="11"/>
        </w:rPr>
        <w:t>本行懷疑相關款項為洗錢及</w:t>
      </w:r>
      <w:r>
        <w:rPr>
          <w:rFonts w:ascii="仿宋" w:hAnsi="仿宋" w:eastAsia="仿宋"/>
          <w:color w:val="000000"/>
          <w:spacing w:val="13"/>
          <w:sz w:val="11"/>
          <w:szCs w:val="11"/>
        </w:rPr>
        <w:t>/</w:t>
      </w:r>
      <w:r>
        <w:rPr>
          <w:rFonts w:hint="eastAsia" w:ascii="仿宋" w:hAnsi="仿宋" w:eastAsia="仿宋"/>
          <w:color w:val="000000"/>
          <w:spacing w:val="13"/>
          <w:sz w:val="11"/>
          <w:szCs w:val="11"/>
        </w:rPr>
        <w:t>或資助恐佈份子的款項；及</w:t>
      </w:r>
      <w:r>
        <w:rPr>
          <w:rFonts w:ascii="仿宋" w:hAnsi="仿宋" w:eastAsia="仿宋"/>
          <w:color w:val="000000"/>
          <w:spacing w:val="13"/>
          <w:sz w:val="11"/>
          <w:szCs w:val="11"/>
        </w:rPr>
        <w:t>/</w:t>
      </w:r>
      <w:r>
        <w:rPr>
          <w:rFonts w:hint="eastAsia" w:ascii="仿宋" w:hAnsi="仿宋" w:eastAsia="仿宋"/>
          <w:color w:val="000000"/>
          <w:spacing w:val="13"/>
          <w:sz w:val="11"/>
          <w:szCs w:val="11"/>
        </w:rPr>
        <w:t>或</w:t>
      </w:r>
      <w:r>
        <w:rPr>
          <w:rFonts w:ascii="仿宋" w:hAnsi="仿宋" w:eastAsia="仿宋"/>
          <w:color w:val="000000"/>
          <w:spacing w:val="13"/>
          <w:sz w:val="11"/>
          <w:szCs w:val="11"/>
        </w:rPr>
        <w:t>(ii)</w:t>
      </w:r>
      <w:r>
        <w:rPr>
          <w:rFonts w:hint="eastAsia" w:ascii="仿宋" w:hAnsi="仿宋" w:eastAsia="仿宋"/>
          <w:color w:val="000000"/>
          <w:spacing w:val="13"/>
          <w:sz w:val="11"/>
          <w:szCs w:val="11"/>
        </w:rPr>
        <w:t>任何擁有司法管轄權的公共機關下發出的禁令或命令，限制本行執行相關指示；及</w:t>
      </w:r>
      <w:r>
        <w:rPr>
          <w:rFonts w:ascii="仿宋" w:hAnsi="仿宋" w:eastAsia="仿宋"/>
          <w:color w:val="000000"/>
          <w:spacing w:val="13"/>
          <w:sz w:val="11"/>
          <w:szCs w:val="11"/>
        </w:rPr>
        <w:t>/</w:t>
      </w:r>
      <w:r>
        <w:rPr>
          <w:rFonts w:hint="eastAsia" w:ascii="仿宋" w:hAnsi="仿宋" w:eastAsia="仿宋"/>
          <w:color w:val="000000"/>
          <w:spacing w:val="13"/>
          <w:sz w:val="11"/>
          <w:szCs w:val="11"/>
        </w:rPr>
        <w:t>或</w:t>
      </w:r>
      <w:r>
        <w:rPr>
          <w:rFonts w:ascii="仿宋" w:hAnsi="仿宋" w:eastAsia="仿宋"/>
          <w:color w:val="000000"/>
          <w:spacing w:val="13"/>
          <w:sz w:val="11"/>
          <w:szCs w:val="11"/>
        </w:rPr>
        <w:t>(iii)</w:t>
      </w:r>
      <w:r>
        <w:rPr>
          <w:rFonts w:hint="eastAsia" w:ascii="仿宋" w:hAnsi="仿宋" w:eastAsia="仿宋"/>
          <w:color w:val="000000"/>
          <w:spacing w:val="13"/>
          <w:sz w:val="11"/>
          <w:szCs w:val="11"/>
        </w:rPr>
        <w:t>任何本行的代理行</w:t>
      </w:r>
      <w:r>
        <w:rPr>
          <w:rFonts w:ascii="仿宋" w:hAnsi="仿宋" w:eastAsia="仿宋"/>
          <w:color w:val="000000"/>
          <w:spacing w:val="13"/>
          <w:sz w:val="11"/>
          <w:szCs w:val="11"/>
        </w:rPr>
        <w:t>(</w:t>
      </w:r>
      <w:r>
        <w:rPr>
          <w:rFonts w:hint="eastAsia" w:ascii="仿宋" w:hAnsi="仿宋" w:eastAsia="仿宋"/>
          <w:color w:val="000000"/>
          <w:spacing w:val="13"/>
          <w:sz w:val="11"/>
          <w:szCs w:val="11"/>
        </w:rPr>
        <w:t>包括，如適用，在中國境內的代理行</w:t>
      </w:r>
      <w:r>
        <w:rPr>
          <w:rFonts w:ascii="仿宋" w:hAnsi="仿宋" w:eastAsia="仿宋"/>
          <w:color w:val="000000"/>
          <w:spacing w:val="13"/>
          <w:sz w:val="11"/>
          <w:szCs w:val="11"/>
        </w:rPr>
        <w:t>)</w:t>
      </w:r>
      <w:r>
        <w:rPr>
          <w:rFonts w:hint="eastAsia" w:ascii="仿宋" w:hAnsi="仿宋" w:eastAsia="仿宋"/>
          <w:color w:val="000000"/>
          <w:spacing w:val="13"/>
          <w:sz w:val="11"/>
          <w:szCs w:val="11"/>
        </w:rPr>
        <w:t>採取或拒絕採取任何行動而導致相關指示無法執行，本行將不會因未執行相關指示而對匯款人所遭受的任何損失、成本或費用負責。</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本條款是額外加諸於且不損害本行與匯款人之間的任何其他的約定或條款與細則。若本條款任何條文或部份失效，所有其它條文仍具有十足效力及作用。</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匯款人不可在支付予收款人的匯款中加入事前需要滿足的附帶條件，原因是本行或收款銀行不能接受監察該等條件是否已獲遵從的責任。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同意並授權本行可將本行不時蒐集有關匯款人之任何資料，根據本行有關使用及披露個人資料政策，用於其中所述用途及向其中所述人士披露(不論接收人是在香港或另一國家，或在並不提供與香港同等程度的資料保障的國家)。該等政策於本行不時備有供客戶索取之聲明、通函、條款及條件或通知中載明。匯款人亦同意並授權本行可將所蒐集的資料(i)用以符合任何司法管轄區的法律、規定、守則或指引、法院命令或監管機構訂明的披露要求，及(ii)向本行根據任何司法管轄區的法律、規定、守則或指引、法院命令或監管機構規定或獲允許向其作出披露的任何人士披露。</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賬戶一般條款的條款(除非明顯與本條款有差異)同樣適用於匯款人於本申請書項下申請的本票及匯款服務。</w:t>
      </w:r>
    </w:p>
    <w:p>
      <w:pPr>
        <w:pStyle w:val="11"/>
        <w:numPr>
          <w:ilvl w:val="0"/>
          <w:numId w:val="2"/>
        </w:numPr>
        <w:tabs>
          <w:tab w:val="left" w:pos="360"/>
        </w:tabs>
        <w:contextualSpacing/>
        <w:rPr>
          <w:rFonts w:ascii="仿宋" w:hAnsi="仿宋" w:eastAsia="仿宋"/>
          <w:sz w:val="11"/>
          <w:szCs w:val="11"/>
        </w:rPr>
      </w:pPr>
      <w:r>
        <w:rPr>
          <w:rFonts w:hint="eastAsia" w:ascii="仿宋" w:hAnsi="仿宋" w:eastAsia="仿宋"/>
          <w:color w:val="000000"/>
          <w:spacing w:val="13"/>
          <w:sz w:val="11"/>
          <w:szCs w:val="11"/>
        </w:rPr>
        <w:t>如此等條款的中文本與英文本義有差異，應以英文本為準。</w:t>
      </w:r>
    </w:p>
    <w:sectPr>
      <w:headerReference r:id="rId5" w:type="first"/>
      <w:headerReference r:id="rId3" w:type="default"/>
      <w:footerReference r:id="rId6" w:type="default"/>
      <w:headerReference r:id="rId4" w:type="even"/>
      <w:pgSz w:w="12240" w:h="15840"/>
      <w:pgMar w:top="165" w:right="540" w:bottom="142" w:left="360" w:header="142" w:footer="5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pict>
        <v:shape id="_x0000_s2053" o:spid="_x0000_s2053" o:spt="136" type="#_x0000_t136" style="position:absolute;left:0pt;margin-left:-31.65pt;margin-top:508.9pt;height:66pt;width:264pt;mso-position-horizontal-relative:margin;mso-position-vertical-relative:margin;rotation:20643840f;z-index:-251652096;mso-width-relative:page;mso-height-relative:page;" fillcolor="#E5B8B7 [1301]" filled="t" stroked="f" coordsize="21600,21600" o:allowincell="f">
          <v:path/>
          <v:fill on="t" focussize="0,0"/>
          <v:stroke on="f"/>
          <v:imagedata o:title=""/>
          <o:lock v:ext="edit"/>
          <v:textpath on="t" fitpath="t" trim="t" xscale="f" string="傳真指令" style="font-family:新宋体;font-size:6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751065099" o:spid="_x0000_s2051" o:spt="136" type="#_x0000_t136" style="position:absolute;left:0pt;margin-left:350.4pt;margin-top:127.25pt;height:66pt;width:264pt;mso-position-horizontal-relative:margin;mso-position-vertical-relative:margin;rotation:20643840f;z-index:-251653120;mso-width-relative:page;mso-height-relative:page;" fillcolor="#E5B8B7 [1301]" filled="t" stroked="f" coordsize="21600,21600" o:allowincell="f">
          <v:path/>
          <v:fill on="t" focussize="0,0"/>
          <v:stroke on="f"/>
          <v:imagedata o:title=""/>
          <o:lock v:ext="edit"/>
          <v:textpath on="t" fitpath="t" trim="t" xscale="f" string="傳真指令" style="font-family:新宋体;font-size:6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751065098" o:spid="_x0000_s2050" o:spt="136" type="#_x0000_t136" style="position:absolute;left:0pt;height:66pt;width:264pt;mso-position-horizontal:center;mso-position-horizontal-relative:margin;mso-position-vertical:center;mso-position-vertical-relative:margin;rotation:20643840f;z-index:-251655168;mso-width-relative:page;mso-height-relative:page;" fillcolor="#E5B8B7 [1301]" filled="t" stroked="f" coordsize="21600,21600" o:allowincell="f">
          <v:path/>
          <v:fill on="t" focussize="0,0"/>
          <v:stroke on="f"/>
          <v:imagedata o:title=""/>
          <o:lock v:ext="edit"/>
          <v:textpath on="t" fitpath="t" trim="t" xscale="f" string="傳真指令" style="font-family:新宋体;font-size:6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751065097" o:spid="_x0000_s2049" o:spt="136" type="#_x0000_t136" style="position:absolute;left:0pt;height:66pt;width:264pt;mso-position-horizontal:center;mso-position-horizontal-relative:margin;mso-position-vertical:center;mso-position-vertical-relative:margin;rotation:20643840f;z-index:-251657216;mso-width-relative:page;mso-height-relative:page;" fillcolor="#E5B8B7 [1301]" filled="t" stroked="f" coordsize="21600,21600" o:allowincell="f">
          <v:path/>
          <v:fill on="t" focussize="0,0"/>
          <v:stroke on="f"/>
          <v:imagedata o:title=""/>
          <o:lock v:ext="edit"/>
          <v:textpath on="t" fitpath="t" trim="t" xscale="f" string="傳真指令" style="font-family:新宋体;font-size:6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3E0"/>
    <w:multiLevelType w:val="multilevel"/>
    <w:tmpl w:val="2AC503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6D50BEB"/>
    <w:multiLevelType w:val="multilevel"/>
    <w:tmpl w:val="46D50B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forms" w:formatting="1" w:enforcement="1" w:cryptProviderType="rsaFull" w:cryptAlgorithmClass="hash" w:cryptAlgorithmType="typeAny" w:cryptAlgorithmSid="4" w:cryptSpinCount="100000" w:hash="v4OokDOfQljxUyF+CWDKu4bNJbg=" w:salt="OGPATqo0Kb0d8U+eHWezpw=="/>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D"/>
    <w:rsid w:val="00001E43"/>
    <w:rsid w:val="00002DD4"/>
    <w:rsid w:val="00014F1D"/>
    <w:rsid w:val="00031E06"/>
    <w:rsid w:val="0004440B"/>
    <w:rsid w:val="000822D8"/>
    <w:rsid w:val="00096DED"/>
    <w:rsid w:val="000C0A8E"/>
    <w:rsid w:val="000F0C9F"/>
    <w:rsid w:val="0011347C"/>
    <w:rsid w:val="00115C86"/>
    <w:rsid w:val="00136C46"/>
    <w:rsid w:val="00147268"/>
    <w:rsid w:val="00153657"/>
    <w:rsid w:val="001623A2"/>
    <w:rsid w:val="00181138"/>
    <w:rsid w:val="001D02F9"/>
    <w:rsid w:val="001E6925"/>
    <w:rsid w:val="001F35D9"/>
    <w:rsid w:val="00221610"/>
    <w:rsid w:val="00247379"/>
    <w:rsid w:val="00256FA3"/>
    <w:rsid w:val="002612E1"/>
    <w:rsid w:val="00270A9C"/>
    <w:rsid w:val="00273874"/>
    <w:rsid w:val="002A478B"/>
    <w:rsid w:val="002A5D9B"/>
    <w:rsid w:val="002E2801"/>
    <w:rsid w:val="00346D92"/>
    <w:rsid w:val="0037253B"/>
    <w:rsid w:val="00372C1A"/>
    <w:rsid w:val="003856BB"/>
    <w:rsid w:val="00396479"/>
    <w:rsid w:val="00397AC3"/>
    <w:rsid w:val="003A3101"/>
    <w:rsid w:val="003B4C9C"/>
    <w:rsid w:val="003B5803"/>
    <w:rsid w:val="003D583F"/>
    <w:rsid w:val="0040008B"/>
    <w:rsid w:val="0040368B"/>
    <w:rsid w:val="00411C03"/>
    <w:rsid w:val="004547F9"/>
    <w:rsid w:val="00472851"/>
    <w:rsid w:val="00472DE9"/>
    <w:rsid w:val="00480C15"/>
    <w:rsid w:val="00490352"/>
    <w:rsid w:val="004E0A83"/>
    <w:rsid w:val="004F7A02"/>
    <w:rsid w:val="00504F3B"/>
    <w:rsid w:val="0051655B"/>
    <w:rsid w:val="005179DE"/>
    <w:rsid w:val="00521FAA"/>
    <w:rsid w:val="005276FC"/>
    <w:rsid w:val="005332A3"/>
    <w:rsid w:val="00556259"/>
    <w:rsid w:val="00560C97"/>
    <w:rsid w:val="00565D40"/>
    <w:rsid w:val="00576B1C"/>
    <w:rsid w:val="00593F25"/>
    <w:rsid w:val="005E2A65"/>
    <w:rsid w:val="005E535C"/>
    <w:rsid w:val="00620406"/>
    <w:rsid w:val="006C3DF4"/>
    <w:rsid w:val="00705B70"/>
    <w:rsid w:val="00707C31"/>
    <w:rsid w:val="00711524"/>
    <w:rsid w:val="00722244"/>
    <w:rsid w:val="00722A9D"/>
    <w:rsid w:val="007422BA"/>
    <w:rsid w:val="00771763"/>
    <w:rsid w:val="007805CE"/>
    <w:rsid w:val="007C7F43"/>
    <w:rsid w:val="007D1AB4"/>
    <w:rsid w:val="007D271B"/>
    <w:rsid w:val="007D5740"/>
    <w:rsid w:val="007E75B5"/>
    <w:rsid w:val="00803590"/>
    <w:rsid w:val="008473BE"/>
    <w:rsid w:val="00870B45"/>
    <w:rsid w:val="0087410D"/>
    <w:rsid w:val="0088223A"/>
    <w:rsid w:val="008A2195"/>
    <w:rsid w:val="008B5F4E"/>
    <w:rsid w:val="008C6374"/>
    <w:rsid w:val="008E0294"/>
    <w:rsid w:val="008E2582"/>
    <w:rsid w:val="008E38A7"/>
    <w:rsid w:val="008F5FB6"/>
    <w:rsid w:val="00910912"/>
    <w:rsid w:val="00912F11"/>
    <w:rsid w:val="00922EE9"/>
    <w:rsid w:val="00923470"/>
    <w:rsid w:val="009313F4"/>
    <w:rsid w:val="009562CA"/>
    <w:rsid w:val="00975738"/>
    <w:rsid w:val="009C678D"/>
    <w:rsid w:val="009D2926"/>
    <w:rsid w:val="00A01448"/>
    <w:rsid w:val="00A03957"/>
    <w:rsid w:val="00A0754A"/>
    <w:rsid w:val="00A36D10"/>
    <w:rsid w:val="00A50FBB"/>
    <w:rsid w:val="00A830F7"/>
    <w:rsid w:val="00AB0DAA"/>
    <w:rsid w:val="00AE67A7"/>
    <w:rsid w:val="00B00337"/>
    <w:rsid w:val="00B42494"/>
    <w:rsid w:val="00B51562"/>
    <w:rsid w:val="00B54B77"/>
    <w:rsid w:val="00B80259"/>
    <w:rsid w:val="00B810EE"/>
    <w:rsid w:val="00B84AC1"/>
    <w:rsid w:val="00B85AE8"/>
    <w:rsid w:val="00BE4130"/>
    <w:rsid w:val="00BF338A"/>
    <w:rsid w:val="00BF524C"/>
    <w:rsid w:val="00C13F25"/>
    <w:rsid w:val="00C26E0E"/>
    <w:rsid w:val="00C545E5"/>
    <w:rsid w:val="00C62B54"/>
    <w:rsid w:val="00C650E3"/>
    <w:rsid w:val="00C753BB"/>
    <w:rsid w:val="00CE696B"/>
    <w:rsid w:val="00CF055A"/>
    <w:rsid w:val="00CF0F93"/>
    <w:rsid w:val="00D05428"/>
    <w:rsid w:val="00D3226E"/>
    <w:rsid w:val="00D35835"/>
    <w:rsid w:val="00DA7689"/>
    <w:rsid w:val="00DB764F"/>
    <w:rsid w:val="00DC2507"/>
    <w:rsid w:val="00DC37E3"/>
    <w:rsid w:val="00DE14FF"/>
    <w:rsid w:val="00E05D59"/>
    <w:rsid w:val="00E209E3"/>
    <w:rsid w:val="00E251E7"/>
    <w:rsid w:val="00E32D1D"/>
    <w:rsid w:val="00E371AE"/>
    <w:rsid w:val="00E57552"/>
    <w:rsid w:val="00E77B6B"/>
    <w:rsid w:val="00E91493"/>
    <w:rsid w:val="00E915AD"/>
    <w:rsid w:val="00EA0C47"/>
    <w:rsid w:val="00EB0EF6"/>
    <w:rsid w:val="00EB65D9"/>
    <w:rsid w:val="00EB6F18"/>
    <w:rsid w:val="00ED2F3B"/>
    <w:rsid w:val="00ED566F"/>
    <w:rsid w:val="00F24DBC"/>
    <w:rsid w:val="00F314B0"/>
    <w:rsid w:val="00F42CA7"/>
    <w:rsid w:val="00F5771C"/>
    <w:rsid w:val="00F65113"/>
    <w:rsid w:val="00F902E9"/>
    <w:rsid w:val="00F95E0D"/>
    <w:rsid w:val="00FA78A7"/>
    <w:rsid w:val="00FB4BD6"/>
    <w:rsid w:val="00FE31C1"/>
    <w:rsid w:val="00FF0212"/>
    <w:rsid w:val="00FF5396"/>
    <w:rsid w:val="00FF67D4"/>
    <w:rsid w:val="30D83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EastAsia" w:cstheme="minorBidi"/>
      <w:sz w:val="16"/>
      <w:szCs w:val="22"/>
      <w:lang w:val="en-US" w:eastAsia="zh-TW"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PMingLiU" w:eastAsia="PMingLiU"/>
      <w:sz w:val="18"/>
      <w:szCs w:val="18"/>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uiPriority w:val="99"/>
    <w:rPr>
      <w:rFonts w:ascii="PMingLiU" w:eastAsia="PMingLiU"/>
      <w:sz w:val="18"/>
      <w:szCs w:val="18"/>
    </w:rPr>
  </w:style>
  <w:style w:type="character" w:customStyle="1" w:styleId="9">
    <w:name w:val="页眉 Char"/>
    <w:basedOn w:val="5"/>
    <w:link w:val="4"/>
    <w:uiPriority w:val="99"/>
  </w:style>
  <w:style w:type="character" w:customStyle="1" w:styleId="10">
    <w:name w:val="页脚 Char"/>
    <w:basedOn w:val="5"/>
    <w:link w:val="3"/>
    <w:uiPriority w:val="99"/>
  </w:style>
  <w:style w:type="paragraph" w:styleId="11">
    <w:name w:val="No Spacing"/>
    <w:qFormat/>
    <w:uiPriority w:val="1"/>
    <w:pPr>
      <w:spacing w:after="0" w:line="240" w:lineRule="auto"/>
    </w:pPr>
    <w:rPr>
      <w:rFonts w:asciiTheme="minorHAnsi" w:hAnsiTheme="minorHAnsi" w:eastAsiaTheme="minorEastAsia" w:cstheme="minorBidi"/>
      <w:sz w:val="22"/>
      <w:szCs w:val="22"/>
      <w:lang w:val="en-US" w:eastAsia="zh-TW" w:bidi="ar-SA"/>
    </w:rPr>
  </w:style>
  <w:style w:type="paragraph" w:styleId="12">
    <w:name w:val="List Paragraph"/>
    <w:basedOn w:val="1"/>
    <w:qFormat/>
    <w:uiPriority w:val="34"/>
    <w:pPr>
      <w:ind w:left="720"/>
      <w:contextualSpacing/>
    </w:pPr>
    <w:rPr>
      <w:rFonts w:asciiTheme="minorHAnsi" w:hAnsiTheme="minorHAnsi"/>
      <w:sz w:val="22"/>
    </w:rPr>
  </w:style>
  <w:style w:type="character" w:customStyle="1" w:styleId="13">
    <w:name w:val="short_text"/>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205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D68CB-88A5-4FD4-955E-416F2F190111}">
  <ds:schemaRefs/>
</ds:datastoreItem>
</file>

<file path=docProps/app.xml><?xml version="1.0" encoding="utf-8"?>
<Properties xmlns="http://schemas.openxmlformats.org/officeDocument/2006/extended-properties" xmlns:vt="http://schemas.openxmlformats.org/officeDocument/2006/docPropsVTypes">
  <Template>Normal</Template>
  <Pages>2</Pages>
  <Words>2728</Words>
  <Characters>15552</Characters>
  <Lines>129</Lines>
  <Paragraphs>36</Paragraphs>
  <TotalTime>3</TotalTime>
  <ScaleCrop>false</ScaleCrop>
  <LinksUpToDate>false</LinksUpToDate>
  <CharactersWithSpaces>18244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2021-03-30T07:34:00Z</dcterms:created>
  <dc:creator>CIBHK</dc:creator>
  <cp:lastModifiedBy>卞登余</cp:lastModifiedBy>
  <cp:lastPrinted>2019-11-12T08:08:00Z</cp:lastPrinted>
  <dcterms:modified xsi:type="dcterms:W3CDTF">2021-05-08T02:40:06Z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